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294E" w14:textId="2FD6F13D" w:rsidR="008B4D1B" w:rsidRPr="008B4D1B" w:rsidRDefault="004663A0" w:rsidP="008B4D1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</w:t>
      </w:r>
      <w:r w:rsidR="00A86935" w:rsidRPr="00A86935">
        <w:rPr>
          <w:b/>
          <w:sz w:val="28"/>
          <w:szCs w:val="28"/>
        </w:rPr>
        <w:t xml:space="preserve"> </w:t>
      </w:r>
      <w:r w:rsidR="00A86935">
        <w:rPr>
          <w:b/>
          <w:sz w:val="28"/>
          <w:szCs w:val="28"/>
        </w:rPr>
        <w:t>p</w:t>
      </w:r>
      <w:r w:rsidR="008B4D1B" w:rsidRPr="008B4D1B">
        <w:rPr>
          <w:b/>
          <w:sz w:val="28"/>
          <w:szCs w:val="28"/>
        </w:rPr>
        <w:t>ast predictions</w:t>
      </w:r>
      <w:r w:rsidR="008B4D1B" w:rsidRPr="00A86935">
        <w:rPr>
          <w:b/>
          <w:sz w:val="28"/>
          <w:szCs w:val="28"/>
        </w:rPr>
        <w:t xml:space="preserve"> of the Second Coming of Jesus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160"/>
        <w:gridCol w:w="7300"/>
        <w:gridCol w:w="36"/>
        <w:gridCol w:w="36"/>
      </w:tblGrid>
      <w:tr w:rsidR="008B4D1B" w:rsidRPr="008B4D1B" w14:paraId="4AEFCA48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2A9B1"/>
              <w:left w:val="single" w:sz="6" w:space="0" w:color="A2A9B1"/>
              <w:bottom w:val="single" w:sz="6" w:space="0" w:color="auto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0755B2" w14:textId="19DF519D" w:rsidR="008B4D1B" w:rsidRPr="008B4D1B" w:rsidRDefault="008B4D1B" w:rsidP="008B4D1B">
            <w:pPr>
              <w:rPr>
                <w:b/>
                <w:bCs/>
              </w:rPr>
            </w:pPr>
            <w:r w:rsidRPr="008B4D1B">
              <w:rPr>
                <w:b/>
                <w:bCs/>
              </w:rPr>
              <w:t xml:space="preserve">Predicted </w:t>
            </w:r>
          </w:p>
        </w:tc>
        <w:tc>
          <w:tcPr>
            <w:tcW w:w="2160" w:type="dxa"/>
            <w:tcBorders>
              <w:top w:val="single" w:sz="6" w:space="0" w:color="A2A9B1"/>
              <w:left w:val="single" w:sz="6" w:space="0" w:color="A2A9B1"/>
              <w:bottom w:val="single" w:sz="6" w:space="0" w:color="auto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F8EFE" w14:textId="77777777" w:rsidR="008B4D1B" w:rsidRPr="008B4D1B" w:rsidRDefault="008B4D1B" w:rsidP="008B4D1B">
            <w:pPr>
              <w:rPr>
                <w:b/>
                <w:bCs/>
              </w:rPr>
            </w:pPr>
            <w:r w:rsidRPr="008B4D1B">
              <w:rPr>
                <w:b/>
                <w:bCs/>
              </w:rPr>
              <w:t>Claimant</w:t>
            </w:r>
          </w:p>
        </w:tc>
        <w:tc>
          <w:tcPr>
            <w:tcW w:w="7300" w:type="dxa"/>
            <w:tcBorders>
              <w:top w:val="single" w:sz="6" w:space="0" w:color="A2A9B1"/>
              <w:left w:val="single" w:sz="6" w:space="0" w:color="A2A9B1"/>
              <w:bottom w:val="single" w:sz="6" w:space="0" w:color="auto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CD6D89" w14:textId="77777777" w:rsidR="008B4D1B" w:rsidRPr="008B4D1B" w:rsidRDefault="008B4D1B" w:rsidP="008B4D1B">
            <w:pPr>
              <w:rPr>
                <w:b/>
                <w:bCs/>
              </w:rPr>
            </w:pPr>
            <w:r w:rsidRPr="008B4D1B">
              <w:rPr>
                <w:b/>
                <w:bCs/>
              </w:rPr>
              <w:t>Description</w:t>
            </w:r>
          </w:p>
        </w:tc>
      </w:tr>
      <w:tr w:rsidR="008B4D1B" w:rsidRPr="008B4D1B" w14:paraId="7E3C1A34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749C81" w14:textId="3402A871" w:rsidR="008B4D1B" w:rsidRPr="008B4D1B" w:rsidRDefault="008B4D1B" w:rsidP="008B4D1B">
            <w:r w:rsidRPr="008B4D1B">
              <w:t xml:space="preserve">1000 </w:t>
            </w:r>
            <w:r w:rsidR="00922173">
              <w:br/>
            </w:r>
            <w:r w:rsidRPr="008B4D1B">
              <w:t>Jan 1</w:t>
            </w:r>
            <w:r w:rsidR="00922173">
              <w:t>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A4E44B" w14:textId="1CBE35DA" w:rsidR="008B4D1B" w:rsidRPr="008B4D1B" w:rsidRDefault="008B4D1B" w:rsidP="008B4D1B">
            <w:r w:rsidRPr="008B4D1B">
              <w:t>Pope Sylvester II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D6EC83" w14:textId="108A4B57" w:rsidR="008B4D1B" w:rsidRPr="008B4D1B" w:rsidRDefault="00C6441E" w:rsidP="008B4D1B">
            <w:r>
              <w:t>Since Millennium</w:t>
            </w:r>
            <w:r w:rsidR="00FD7EF5">
              <w:t xml:space="preserve"> </w:t>
            </w:r>
            <w:r>
              <w:t>equals</w:t>
            </w:r>
            <w:r w:rsidR="00FD7EF5">
              <w:t xml:space="preserve"> 1,000 years</w:t>
            </w:r>
            <w:r>
              <w:t>, this date became an easy target, including the newly elected Pope (in 99 A.D.).</w:t>
            </w:r>
            <w:r w:rsidR="008B4D1B" w:rsidRPr="008B4D1B">
              <w:t xml:space="preserve"> </w:t>
            </w:r>
            <w:r w:rsidR="00FD7EF5">
              <w:t>After</w:t>
            </w:r>
            <w:r w:rsidR="008B4D1B" w:rsidRPr="008B4D1B">
              <w:t xml:space="preserve"> the </w:t>
            </w:r>
            <w:r>
              <w:t>failed</w:t>
            </w:r>
            <w:r w:rsidR="008B4D1B" w:rsidRPr="008B4D1B">
              <w:t xml:space="preserve"> prediction, some proposed that the end would occur 1000 years after Jesus' death (1033).</w:t>
            </w:r>
          </w:p>
        </w:tc>
      </w:tr>
      <w:tr w:rsidR="00FD7EF5" w:rsidRPr="008B4D1B" w14:paraId="02B81800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8291C36" w14:textId="657658A2" w:rsidR="00FD7EF5" w:rsidRPr="008B4D1B" w:rsidRDefault="00FD7EF5" w:rsidP="008B4D1B">
            <w:r>
              <w:t>1420</w:t>
            </w:r>
            <w:r>
              <w:br/>
              <w:t>Feb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C2C2D0B" w14:textId="63068A4C" w:rsidR="00FD7EF5" w:rsidRPr="008B4D1B" w:rsidRDefault="00FD7EF5" w:rsidP="008B4D1B">
            <w:proofErr w:type="spellStart"/>
            <w:r>
              <w:t>Martinek</w:t>
            </w:r>
            <w:proofErr w:type="spellEnd"/>
            <w:r>
              <w:t xml:space="preserve"> </w:t>
            </w:r>
            <w:proofErr w:type="spellStart"/>
            <w:r>
              <w:t>Hausk</w:t>
            </w:r>
            <w:bookmarkStart w:id="0" w:name="_GoBack"/>
            <w:bookmarkEnd w:id="0"/>
            <w:r>
              <w:t>a</w:t>
            </w:r>
            <w:proofErr w:type="spellEnd"/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5C8C848" w14:textId="40DDF046" w:rsidR="00FD7EF5" w:rsidRPr="008B4D1B" w:rsidRDefault="00FD7EF5" w:rsidP="008B4D1B">
            <w:r>
              <w:t xml:space="preserve">In Prague, </w:t>
            </w:r>
            <w:proofErr w:type="spellStart"/>
            <w:r>
              <w:t>Hauska</w:t>
            </w:r>
            <w:proofErr w:type="spellEnd"/>
            <w:r>
              <w:t xml:space="preserve"> told everyone to hide in the mountains because between Feb 1 and Feb 14 God would destroy every </w:t>
            </w:r>
            <w:r w:rsidR="00A154B4">
              <w:t>t</w:t>
            </w:r>
            <w:r>
              <w:t xml:space="preserve">own and village with fire and usher in the millennium. The people instead </w:t>
            </w:r>
            <w:proofErr w:type="gramStart"/>
            <w:r>
              <w:t>rose up again</w:t>
            </w:r>
            <w:r w:rsidR="00A154B4">
              <w:t>st</w:t>
            </w:r>
            <w:proofErr w:type="gramEnd"/>
            <w:r>
              <w:t xml:space="preserve"> the non-believing clergy and “purged them from the earth.”</w:t>
            </w:r>
          </w:p>
        </w:tc>
      </w:tr>
      <w:tr w:rsidR="008B4D1B" w:rsidRPr="008B4D1B" w14:paraId="7B56CE86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6789BD" w14:textId="63418625" w:rsidR="008B4D1B" w:rsidRPr="008B4D1B" w:rsidRDefault="008B4D1B" w:rsidP="008B4D1B">
            <w:r w:rsidRPr="008B4D1B">
              <w:t>1533</w:t>
            </w:r>
            <w:r w:rsidR="00A86935">
              <w:br/>
              <w:t>1534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1BF013" w14:textId="4525B014" w:rsidR="008B4D1B" w:rsidRPr="008B4D1B" w:rsidRDefault="00A86935" w:rsidP="008B4D1B">
            <w:r>
              <w:t>French and German Anabaptists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D5EFA2" w14:textId="39B674AD" w:rsidR="008B4D1B" w:rsidRPr="008B4D1B" w:rsidRDefault="00A86935" w:rsidP="008B4D1B">
            <w:r>
              <w:t xml:space="preserve">One group claimed </w:t>
            </w:r>
            <w:proofErr w:type="spellStart"/>
            <w:r>
              <w:t>Strassbourg</w:t>
            </w:r>
            <w:proofErr w:type="spellEnd"/>
            <w:r>
              <w:t xml:space="preserve"> was chosen </w:t>
            </w:r>
            <w:proofErr w:type="spellStart"/>
            <w:r w:rsidR="00C6441E">
              <w:t>bo</w:t>
            </w:r>
            <w:proofErr w:type="spellEnd"/>
            <w:r w:rsidR="00C6441E">
              <w:t xml:space="preserve"> be</w:t>
            </w:r>
            <w:r>
              <w:t xml:space="preserve"> the New Jerusalem in 1533. When that didn’t happen, another group claimed it would be in </w:t>
            </w:r>
            <w:r w:rsidRPr="00A86935">
              <w:rPr>
                <w:bCs/>
              </w:rPr>
              <w:t>Münster</w:t>
            </w:r>
            <w:r>
              <w:rPr>
                <w:bCs/>
              </w:rPr>
              <w:t>, Germany</w:t>
            </w:r>
            <w:r w:rsidR="00C6441E">
              <w:rPr>
                <w:bCs/>
              </w:rPr>
              <w:t xml:space="preserve"> in 1534</w:t>
            </w:r>
            <w:r>
              <w:rPr>
                <w:bCs/>
              </w:rPr>
              <w:t>. Catholics and Lutherans were expelled from the city.</w:t>
            </w:r>
          </w:p>
        </w:tc>
      </w:tr>
      <w:tr w:rsidR="008B4D1B" w:rsidRPr="008B4D1B" w14:paraId="630A162C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E6E3E" w14:textId="0D2B4D29" w:rsidR="008B4D1B" w:rsidRPr="008B4D1B" w:rsidRDefault="008B4D1B" w:rsidP="008B4D1B">
            <w:r w:rsidRPr="008B4D1B">
              <w:t xml:space="preserve">1844 </w:t>
            </w:r>
            <w:r w:rsidR="00C6441E">
              <w:br/>
            </w:r>
            <w:r w:rsidRPr="008B4D1B">
              <w:t>Oct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883903" w14:textId="3FF8A443" w:rsidR="008B4D1B" w:rsidRPr="008B4D1B" w:rsidRDefault="008B4D1B" w:rsidP="008B4D1B">
            <w:r w:rsidRPr="008B4D1B">
              <w:t>William Miller </w:t>
            </w:r>
            <w:r w:rsidR="00A154B4">
              <w:br/>
            </w:r>
            <w:r w:rsidR="00FD7EF5">
              <w:br/>
            </w:r>
            <w:r w:rsidRPr="008B4D1B">
              <w:t>Millerites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FFDE90" w14:textId="7F4177AE" w:rsidR="008B4D1B" w:rsidRPr="008B4D1B" w:rsidRDefault="00A86935" w:rsidP="008B4D1B">
            <w:r>
              <w:t>This failed prediction was</w:t>
            </w:r>
            <w:r w:rsidR="008B4D1B" w:rsidRPr="008B4D1B">
              <w:t xml:space="preserve"> referred to as </w:t>
            </w:r>
            <w:r w:rsidR="00C6441E">
              <w:t>“T</w:t>
            </w:r>
            <w:r w:rsidR="008B4D1B" w:rsidRPr="008B4D1B">
              <w:t>he Great Disappointment.</w:t>
            </w:r>
            <w:r w:rsidR="00C6441E">
              <w:t>”</w:t>
            </w:r>
            <w:r w:rsidR="008B4D1B" w:rsidRPr="008B4D1B">
              <w:t xml:space="preserve"> Some Millerites continued to set dates; others founded the Seventh-day Adventist Church and the Advent Christian Church, which continue to expect a soon Second Coming but no longer set dates for it. </w:t>
            </w:r>
          </w:p>
        </w:tc>
      </w:tr>
      <w:tr w:rsidR="008B4D1B" w:rsidRPr="008B4D1B" w14:paraId="1CD9BC70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D2B63B" w14:textId="77777777" w:rsidR="00A86935" w:rsidRDefault="00A86935" w:rsidP="008B4D1B"/>
          <w:p w14:paraId="03332B37" w14:textId="12E12EF2" w:rsidR="00A86935" w:rsidRDefault="00A86935" w:rsidP="008B4D1B">
            <w:r>
              <w:t>1874</w:t>
            </w:r>
          </w:p>
          <w:p w14:paraId="6A74AC4E" w14:textId="77777777" w:rsidR="00A86935" w:rsidRDefault="00A86935" w:rsidP="008B4D1B"/>
          <w:p w14:paraId="388E0A71" w14:textId="5B71912E" w:rsidR="008B4D1B" w:rsidRPr="008B4D1B" w:rsidRDefault="00C6441E" w:rsidP="00A154B4">
            <w:r>
              <w:br/>
            </w:r>
            <w:r w:rsidR="008B4D1B" w:rsidRPr="008B4D1B">
              <w:t>1914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52537C" w14:textId="77777777" w:rsidR="00A86935" w:rsidRDefault="00A86935" w:rsidP="008B4D1B"/>
          <w:p w14:paraId="46A156C4" w14:textId="2FBA5EE2" w:rsidR="00A86935" w:rsidRDefault="00A86935" w:rsidP="008B4D1B">
            <w:r w:rsidRPr="008B4D1B">
              <w:t xml:space="preserve">Charles </w:t>
            </w:r>
            <w:proofErr w:type="spellStart"/>
            <w:r w:rsidRPr="008B4D1B">
              <w:t>Taze</w:t>
            </w:r>
            <w:proofErr w:type="spellEnd"/>
            <w:r w:rsidRPr="008B4D1B">
              <w:t xml:space="preserve"> Russell</w:t>
            </w:r>
          </w:p>
          <w:p w14:paraId="76765027" w14:textId="77777777" w:rsidR="00A86935" w:rsidRDefault="00A86935" w:rsidP="008B4D1B"/>
          <w:p w14:paraId="3C336A84" w14:textId="2EDB65C8" w:rsidR="008B4D1B" w:rsidRPr="008B4D1B" w:rsidRDefault="00C6441E" w:rsidP="008B4D1B">
            <w:r>
              <w:br/>
            </w:r>
            <w:r w:rsidR="008B4D1B" w:rsidRPr="008B4D1B">
              <w:t>Jehovah's Witnesses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C46576" w14:textId="1B4A57AC" w:rsidR="00A86935" w:rsidRDefault="00A86935" w:rsidP="008B4D1B">
            <w:r w:rsidRPr="008B4D1B">
              <w:t>The first president of what is now the Watchtower Society of the Jehovah's Witnesses, calculated 1874 to be the year of Christ's invisible return</w:t>
            </w:r>
            <w:r w:rsidR="00A154B4">
              <w:t>. Then</w:t>
            </w:r>
            <w:r w:rsidRPr="008B4D1B">
              <w:t> the resurrection of the saints in 1875, and the end of the "harvest" and a rapture of the saints to heaven for 1878, </w:t>
            </w:r>
            <w:r w:rsidR="00A154B4">
              <w:t>with</w:t>
            </w:r>
            <w:r w:rsidRPr="008B4D1B">
              <w:t xml:space="preserve"> the </w:t>
            </w:r>
            <w:proofErr w:type="gramStart"/>
            <w:r w:rsidRPr="008B4D1B">
              <w:t>final end</w:t>
            </w:r>
            <w:proofErr w:type="gramEnd"/>
            <w:r w:rsidRPr="008B4D1B">
              <w:t xml:space="preserve"> of "the day of wrath" in 1914. </w:t>
            </w:r>
          </w:p>
          <w:p w14:paraId="1B8A1F26" w14:textId="7375F13F" w:rsidR="008B4D1B" w:rsidRPr="008B4D1B" w:rsidRDefault="00A154B4" w:rsidP="008B4D1B">
            <w:r w:rsidRPr="008B4D1B">
              <w:t>Jehovah's Witnesses</w:t>
            </w:r>
            <w:r w:rsidRPr="008B4D1B">
              <w:t xml:space="preserve"> </w:t>
            </w:r>
            <w:r>
              <w:t>do not use the term “</w:t>
            </w:r>
            <w:r w:rsidR="008B4D1B" w:rsidRPr="008B4D1B">
              <w:t>The Second Coming</w:t>
            </w:r>
            <w:r>
              <w:t xml:space="preserve"> </w:t>
            </w:r>
            <w:r w:rsidR="008B4D1B" w:rsidRPr="008B4D1B">
              <w:t>"</w:t>
            </w:r>
            <w:r>
              <w:t xml:space="preserve"> per se. They</w:t>
            </w:r>
            <w:r w:rsidR="008B4D1B" w:rsidRPr="008B4D1B">
              <w:t xml:space="preserve"> believe that Christ's visible (to humans) return will be at Armageddon. They believe that 1914 marked the beginning of Christ's invisible presence. </w:t>
            </w:r>
          </w:p>
        </w:tc>
      </w:tr>
      <w:tr w:rsidR="008B4D1B" w:rsidRPr="008B4D1B" w14:paraId="6682CF69" w14:textId="77777777" w:rsidTr="00C6441E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74462D" w14:textId="77777777" w:rsidR="008B4D1B" w:rsidRPr="008B4D1B" w:rsidRDefault="008B4D1B" w:rsidP="008B4D1B">
            <w:r w:rsidRPr="008B4D1B">
              <w:t>1935, 1943, 1972 &amp; 1975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B50703" w14:textId="7E52DC59" w:rsidR="008B4D1B" w:rsidRPr="008B4D1B" w:rsidRDefault="008B4D1B" w:rsidP="008B4D1B">
            <w:r w:rsidRPr="008B4D1B">
              <w:t>Herbert W. Armstrong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228F47" w14:textId="4B397587" w:rsidR="00C6441E" w:rsidRDefault="00C6441E" w:rsidP="008B4D1B">
            <w:r w:rsidRPr="008B4D1B">
              <w:t xml:space="preserve">Armstrong </w:t>
            </w:r>
            <w:r w:rsidR="00A154B4">
              <w:t xml:space="preserve">of The </w:t>
            </w:r>
            <w:r w:rsidR="00A154B4" w:rsidRPr="008B4D1B">
              <w:t>Worldwide Church of God</w:t>
            </w:r>
            <w:r w:rsidR="00A154B4" w:rsidRPr="008B4D1B">
              <w:t xml:space="preserve"> </w:t>
            </w:r>
            <w:r w:rsidRPr="008B4D1B">
              <w:t>predicted in a 1934 edition of </w:t>
            </w:r>
            <w:r w:rsidRPr="008B4D1B">
              <w:rPr>
                <w:i/>
                <w:iCs/>
              </w:rPr>
              <w:t>The Plain Truth</w:t>
            </w:r>
            <w:r w:rsidR="00A154B4">
              <w:rPr>
                <w:i/>
                <w:iCs/>
              </w:rPr>
              <w:t xml:space="preserve"> </w:t>
            </w:r>
            <w:r w:rsidRPr="008B4D1B">
              <w:t xml:space="preserve">magazine that Christ would return in 1936. After that prediction failed, he stated in a 1940 edition of that "Christ will come after 3 1/2 years of tribulation in October </w:t>
            </w:r>
            <w:r w:rsidR="00A154B4">
              <w:t>19</w:t>
            </w:r>
            <w:r w:rsidRPr="008B4D1B">
              <w:t>43. After those failed predictions and loss of members he moved his operation from Oregon to Pasadena, California.</w:t>
            </w:r>
          </w:p>
          <w:p w14:paraId="6084ECF1" w14:textId="254C836F" w:rsidR="008B4D1B" w:rsidRPr="008B4D1B" w:rsidRDefault="00A154B4" w:rsidP="00A154B4">
            <w:r>
              <w:t>He then</w:t>
            </w:r>
            <w:r w:rsidR="008B4D1B" w:rsidRPr="008B4D1B">
              <w:t xml:space="preserve"> felt the return of Jesus Christ might be in 1975. </w:t>
            </w:r>
            <w:r w:rsidR="00C6441E">
              <w:t>He wrote a book in 1956 called</w:t>
            </w:r>
            <w:r w:rsidR="008B4D1B" w:rsidRPr="008B4D1B">
              <w:t> </w:t>
            </w:r>
            <w:r w:rsidR="008B4D1B" w:rsidRPr="008B4D1B">
              <w:rPr>
                <w:i/>
                <w:iCs/>
              </w:rPr>
              <w:t xml:space="preserve">1975 in </w:t>
            </w:r>
            <w:proofErr w:type="gramStart"/>
            <w:r w:rsidR="008B4D1B" w:rsidRPr="008B4D1B">
              <w:rPr>
                <w:i/>
                <w:iCs/>
              </w:rPr>
              <w:t>Prophecy!</w:t>
            </w:r>
            <w:r w:rsidR="00C6441E">
              <w:t>.</w:t>
            </w:r>
            <w:proofErr w:type="gramEnd"/>
            <w:r w:rsidR="008B4D1B" w:rsidRPr="008B4D1B">
              <w:t xml:space="preserve"> T</w:t>
            </w:r>
            <w:r w:rsidR="00C6441E">
              <w:t xml:space="preserve">he </w:t>
            </w:r>
            <w:r w:rsidR="008B4D1B" w:rsidRPr="008B4D1B">
              <w:t>title led people to believe the date was the second coming</w:t>
            </w:r>
            <w:r w:rsidR="00C6441E">
              <w:t xml:space="preserve"> (even though he didn’t claim it)</w:t>
            </w:r>
            <w:r w:rsidR="008B4D1B" w:rsidRPr="008B4D1B">
              <w:t xml:space="preserve">. It was preached in sermons </w:t>
            </w:r>
            <w:r w:rsidR="00C6441E">
              <w:t xml:space="preserve">throughout the denomination </w:t>
            </w:r>
            <w:r w:rsidR="008B4D1B" w:rsidRPr="008B4D1B">
              <w:t>in the 1960s that his church would "flee" to Petra, Jordan in 1972 and Christ would return 3 1/2 years later.</w:t>
            </w:r>
            <w:r w:rsidRPr="008B4D1B">
              <w:t xml:space="preserve"> </w:t>
            </w:r>
          </w:p>
        </w:tc>
      </w:tr>
      <w:tr w:rsidR="008B4D1B" w:rsidRPr="008B4D1B" w14:paraId="05F9A35B" w14:textId="77777777" w:rsidTr="00A154B4">
        <w:trPr>
          <w:gridAfter w:val="2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D9EDB0" w14:textId="77777777" w:rsidR="00A154B4" w:rsidRDefault="00A154B4" w:rsidP="008B4D1B"/>
          <w:p w14:paraId="139C86C8" w14:textId="72C377D0" w:rsidR="008B4D1B" w:rsidRPr="008B4D1B" w:rsidRDefault="008B4D1B" w:rsidP="008B4D1B">
            <w:r w:rsidRPr="008B4D1B">
              <w:t>1988</w:t>
            </w:r>
            <w:r w:rsidR="004663A0">
              <w:br/>
              <w:t>Sep 11-13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C6C70E" w14:textId="77777777" w:rsidR="00A154B4" w:rsidRDefault="00A154B4" w:rsidP="008B4D1B"/>
          <w:p w14:paraId="76EB61D9" w14:textId="3180443E" w:rsidR="008B4D1B" w:rsidRPr="008B4D1B" w:rsidRDefault="008B4D1B" w:rsidP="008B4D1B">
            <w:r w:rsidRPr="008B4D1B">
              <w:t xml:space="preserve">Edgar C. </w:t>
            </w:r>
            <w:proofErr w:type="spellStart"/>
            <w:r w:rsidRPr="008B4D1B">
              <w:t>Whisenant</w:t>
            </w:r>
            <w:proofErr w:type="spellEnd"/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5C67D7" w14:textId="77777777" w:rsidR="00A154B4" w:rsidRDefault="00A154B4" w:rsidP="008B4D1B"/>
          <w:p w14:paraId="53C5146D" w14:textId="04CF3756" w:rsidR="008B4D1B" w:rsidRDefault="008B4D1B" w:rsidP="008B4D1B">
            <w:r w:rsidRPr="008B4D1B">
              <w:t>Published a book, </w:t>
            </w:r>
            <w:r w:rsidRPr="008B4D1B">
              <w:rPr>
                <w:i/>
                <w:iCs/>
              </w:rPr>
              <w:t xml:space="preserve">88 Reasons Why </w:t>
            </w:r>
            <w:r w:rsidR="00A86935">
              <w:rPr>
                <w:i/>
                <w:iCs/>
              </w:rPr>
              <w:t>t</w:t>
            </w:r>
            <w:r w:rsidRPr="008B4D1B">
              <w:rPr>
                <w:i/>
                <w:iCs/>
              </w:rPr>
              <w:t>he Rapture Will Be in 1988</w:t>
            </w:r>
            <w:r w:rsidRPr="008B4D1B">
              <w:t>.</w:t>
            </w:r>
          </w:p>
          <w:p w14:paraId="7CC1EF61" w14:textId="7D2CC7A1" w:rsidR="00A154B4" w:rsidRDefault="004663A0" w:rsidP="008B4D1B">
            <w:r>
              <w:t>He amended his prediction for 1989 (because he forgot the year zero in his calculations). Then again in 1993, and 1994.</w:t>
            </w:r>
          </w:p>
          <w:p w14:paraId="3F15AEB4" w14:textId="37095E9D" w:rsidR="00A154B4" w:rsidRPr="008B4D1B" w:rsidRDefault="00A154B4" w:rsidP="008B4D1B"/>
        </w:tc>
      </w:tr>
      <w:tr w:rsidR="00C6441E" w:rsidRPr="008B4D1B" w14:paraId="10333D9D" w14:textId="77777777" w:rsidTr="00C6441E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63BA37" w14:textId="386B76E1" w:rsidR="00922173" w:rsidRDefault="00922173" w:rsidP="008B4D1B">
            <w:r w:rsidRPr="008B4D1B">
              <w:lastRenderedPageBreak/>
              <w:t xml:space="preserve">1994 </w:t>
            </w:r>
            <w:r w:rsidR="00A86935">
              <w:br/>
            </w:r>
            <w:r w:rsidRPr="008B4D1B">
              <w:t>Sep 6</w:t>
            </w:r>
          </w:p>
          <w:p w14:paraId="2FE938DC" w14:textId="378108E6" w:rsidR="008B4D1B" w:rsidRPr="008B4D1B" w:rsidRDefault="008B4D1B" w:rsidP="008B4D1B">
            <w:r w:rsidRPr="008B4D1B">
              <w:t xml:space="preserve">2011 </w:t>
            </w:r>
            <w:r w:rsidR="00922173">
              <w:br/>
            </w:r>
            <w:r w:rsidRPr="008B4D1B">
              <w:t>May 21</w:t>
            </w:r>
            <w:r w:rsidR="00922173">
              <w:br/>
            </w:r>
            <w:r w:rsidR="00922173">
              <w:br/>
            </w:r>
            <w:r w:rsidRPr="008B4D1B">
              <w:t xml:space="preserve">2011 </w:t>
            </w:r>
            <w:r w:rsidR="00922173">
              <w:br/>
            </w:r>
            <w:r w:rsidRPr="008B4D1B">
              <w:t>Oct 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372D5C" w14:textId="5D855847" w:rsidR="008B4D1B" w:rsidRPr="008B4D1B" w:rsidRDefault="008B4D1B" w:rsidP="008B4D1B">
            <w:r w:rsidRPr="008B4D1B">
              <w:t>Harold Camping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D3E94D" w14:textId="36DA3074" w:rsidR="008B4D1B" w:rsidRPr="008B4D1B" w:rsidRDefault="00922173" w:rsidP="008B4D1B">
            <w:r w:rsidRPr="008B4D1B">
              <w:t>Camping, general manager of Family Radio and Bible teacher, published a book, </w:t>
            </w:r>
            <w:r w:rsidRPr="008B4D1B">
              <w:rPr>
                <w:i/>
                <w:iCs/>
              </w:rPr>
              <w:t>1994?</w:t>
            </w:r>
            <w:r w:rsidRPr="008B4D1B">
              <w:t>, a prediction that Christ's return was likely pointing to 1994</w:t>
            </w:r>
            <w:r>
              <w:br/>
            </w:r>
            <w:r>
              <w:rPr>
                <w:i/>
                <w:iCs/>
              </w:rPr>
              <w:br/>
            </w:r>
            <w:r w:rsidR="004663A0" w:rsidRPr="004663A0">
              <w:rPr>
                <w:iCs/>
              </w:rPr>
              <w:t>In</w:t>
            </w:r>
            <w:r w:rsidR="008B4D1B" w:rsidRPr="008B4D1B">
              <w:t> </w:t>
            </w:r>
            <w:r>
              <w:t>“</w:t>
            </w:r>
            <w:r w:rsidR="008B4D1B" w:rsidRPr="008B4D1B">
              <w:rPr>
                <w:i/>
                <w:iCs/>
              </w:rPr>
              <w:t xml:space="preserve">2011 </w:t>
            </w:r>
            <w:r w:rsidR="004663A0">
              <w:rPr>
                <w:i/>
                <w:iCs/>
              </w:rPr>
              <w:t>E</w:t>
            </w:r>
            <w:r w:rsidR="008B4D1B" w:rsidRPr="008B4D1B">
              <w:rPr>
                <w:i/>
                <w:iCs/>
              </w:rPr>
              <w:t xml:space="preserve">nd </w:t>
            </w:r>
            <w:r w:rsidR="004663A0">
              <w:rPr>
                <w:i/>
                <w:iCs/>
              </w:rPr>
              <w:t>T</w:t>
            </w:r>
            <w:r w:rsidR="008B4D1B" w:rsidRPr="008B4D1B">
              <w:rPr>
                <w:i/>
                <w:iCs/>
              </w:rPr>
              <w:t xml:space="preserve">imes </w:t>
            </w:r>
            <w:r w:rsidR="004663A0">
              <w:rPr>
                <w:i/>
                <w:iCs/>
              </w:rPr>
              <w:t>P</w:t>
            </w:r>
            <w:r w:rsidR="008B4D1B" w:rsidRPr="008B4D1B">
              <w:rPr>
                <w:i/>
                <w:iCs/>
              </w:rPr>
              <w:t>rediction</w:t>
            </w:r>
            <w:r>
              <w:rPr>
                <w:i/>
                <w:iCs/>
              </w:rPr>
              <w:t>”</w:t>
            </w:r>
            <w:r w:rsidR="008B4D1B" w:rsidRPr="008B4D1B">
              <w:t xml:space="preserve"> Camping claimed that the rapture would be on May 21, 2011 followed by the end of the world on October 21 of the same year. Camping wrote "Adam </w:t>
            </w:r>
            <w:r w:rsidR="004663A0">
              <w:t>W</w:t>
            </w:r>
            <w:r w:rsidR="008B4D1B" w:rsidRPr="008B4D1B">
              <w:t>hen?" and claimed the Biblical calendar meshes with the secular and is accurate from 11,013 BC–2011 AD.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14:paraId="48AA28BB" w14:textId="77777777" w:rsidR="008B4D1B" w:rsidRPr="008B4D1B" w:rsidRDefault="008B4D1B" w:rsidP="008B4D1B"/>
        </w:tc>
        <w:tc>
          <w:tcPr>
            <w:tcW w:w="0" w:type="auto"/>
            <w:shd w:val="clear" w:color="auto" w:fill="auto"/>
            <w:vAlign w:val="center"/>
            <w:hideMark/>
          </w:tcPr>
          <w:p w14:paraId="42E96E24" w14:textId="77777777" w:rsidR="008B4D1B" w:rsidRPr="008B4D1B" w:rsidRDefault="008B4D1B" w:rsidP="008B4D1B"/>
        </w:tc>
      </w:tr>
      <w:tr w:rsidR="00C6441E" w:rsidRPr="008B4D1B" w14:paraId="171264C4" w14:textId="77777777" w:rsidTr="00C6441E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677EC8" w14:textId="77777777" w:rsidR="00922173" w:rsidRDefault="008B4D1B" w:rsidP="008B4D1B">
            <w:r w:rsidRPr="008B4D1B">
              <w:t xml:space="preserve">2011 </w:t>
            </w:r>
            <w:r w:rsidR="00922173">
              <w:br/>
            </w:r>
            <w:r w:rsidRPr="008B4D1B">
              <w:t>Sep 29</w:t>
            </w:r>
          </w:p>
          <w:p w14:paraId="18CF5E0B" w14:textId="4E77B4AB" w:rsidR="008B4D1B" w:rsidRPr="008B4D1B" w:rsidRDefault="008B4D1B" w:rsidP="008B4D1B">
            <w:r w:rsidRPr="008B4D1B">
              <w:br/>
              <w:t xml:space="preserve">2012 </w:t>
            </w:r>
            <w:r w:rsidR="00922173">
              <w:br/>
            </w:r>
            <w:r w:rsidRPr="008B4D1B">
              <w:t>May 27</w:t>
            </w:r>
          </w:p>
          <w:p w14:paraId="665793B3" w14:textId="615AE12E" w:rsidR="008B4D1B" w:rsidRPr="008B4D1B" w:rsidRDefault="008B4D1B" w:rsidP="008B4D1B">
            <w:r w:rsidRPr="008B4D1B">
              <w:t xml:space="preserve">2013 </w:t>
            </w:r>
            <w:r w:rsidR="00922173">
              <w:br/>
            </w:r>
            <w:r w:rsidRPr="008B4D1B">
              <w:t>May 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A33B6" w14:textId="35DD56BA" w:rsidR="008B4D1B" w:rsidRPr="008B4D1B" w:rsidRDefault="008B4D1B" w:rsidP="008B4D1B">
            <w:r w:rsidRPr="008B4D1B">
              <w:t>Ronald Weinland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2EA65C" w14:textId="41EF3A20" w:rsidR="008B4D1B" w:rsidRPr="008B4D1B" w:rsidRDefault="008B4D1B" w:rsidP="008B4D1B">
            <w:r w:rsidRPr="008B4D1B">
              <w:t>Weinland predicted Jesus would return on September 29, 2011.</w:t>
            </w:r>
            <w:r w:rsidR="00922173" w:rsidRPr="008B4D1B">
              <w:t xml:space="preserve"> </w:t>
            </w:r>
            <w:r w:rsidR="00922173">
              <w:br/>
            </w:r>
            <w:r w:rsidRPr="008B4D1B">
              <w:t>When his prediction failed to come true, he moved the date of Jesus' return to May 27, 2012. </w:t>
            </w:r>
            <w:r w:rsidR="00922173">
              <w:br/>
            </w:r>
            <w:r w:rsidRPr="008B4D1B">
              <w:t xml:space="preserve">When that prediction failed, he then moved the date to May 18, 2013, claiming that "a day with God is as a year," giving himself another year for his prophecy to take place. </w:t>
            </w:r>
            <w:r w:rsidR="00922173">
              <w:br/>
            </w:r>
            <w:r w:rsidRPr="008B4D1B">
              <w:t>Weinland was convicted of tax evasion in 2012 and sentenced to 3 1/2 years in federal prison.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14:paraId="68B0D7B5" w14:textId="77777777" w:rsidR="008B4D1B" w:rsidRPr="008B4D1B" w:rsidRDefault="008B4D1B" w:rsidP="008B4D1B"/>
        </w:tc>
        <w:tc>
          <w:tcPr>
            <w:tcW w:w="0" w:type="auto"/>
            <w:shd w:val="clear" w:color="auto" w:fill="auto"/>
            <w:vAlign w:val="center"/>
            <w:hideMark/>
          </w:tcPr>
          <w:p w14:paraId="6350351C" w14:textId="77777777" w:rsidR="008B4D1B" w:rsidRPr="008B4D1B" w:rsidRDefault="008B4D1B" w:rsidP="008B4D1B"/>
        </w:tc>
      </w:tr>
      <w:tr w:rsidR="00C6441E" w:rsidRPr="008B4D1B" w14:paraId="4C5B6F35" w14:textId="77777777" w:rsidTr="00C6441E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206C38" w14:textId="5DB59FC3" w:rsidR="008B4D1B" w:rsidRPr="008B4D1B" w:rsidRDefault="008B4D1B" w:rsidP="008B4D1B">
            <w:r w:rsidRPr="008B4D1B">
              <w:t xml:space="preserve">2015 </w:t>
            </w:r>
            <w:r w:rsidR="00922173">
              <w:br/>
            </w:r>
            <w:r w:rsidRPr="008B4D1B">
              <w:t>Sep 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E492FD" w14:textId="77777777" w:rsidR="008B4D1B" w:rsidRPr="008B4D1B" w:rsidRDefault="008B4D1B" w:rsidP="008B4D1B">
            <w:r w:rsidRPr="008B4D1B">
              <w:t xml:space="preserve">Mark </w:t>
            </w:r>
            <w:proofErr w:type="spellStart"/>
            <w:r w:rsidRPr="008B4D1B">
              <w:t>Biltz</w:t>
            </w:r>
            <w:proofErr w:type="spellEnd"/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E7A3F0" w14:textId="085B7A1B" w:rsidR="008B4D1B" w:rsidRPr="008B4D1B" w:rsidRDefault="008B4D1B" w:rsidP="008B4D1B">
            <w:r w:rsidRPr="008B4D1B">
              <w:t xml:space="preserve">Starting in 2008, Mark </w:t>
            </w:r>
            <w:proofErr w:type="spellStart"/>
            <w:r w:rsidRPr="008B4D1B">
              <w:t>Biltz</w:t>
            </w:r>
            <w:proofErr w:type="spellEnd"/>
            <w:r w:rsidRPr="008B4D1B">
              <w:t xml:space="preserve"> began teaching that Christ's return would correspond with the September 28, 2015 lunar eclipse. His idea, known as the </w:t>
            </w:r>
            <w:r w:rsidR="00922173">
              <w:t>“</w:t>
            </w:r>
            <w:r w:rsidRPr="008B4D1B">
              <w:t>Blood Moon Prophecy</w:t>
            </w:r>
            <w:r w:rsidR="00922173">
              <w:t>.”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14:paraId="25891896" w14:textId="77777777" w:rsidR="008B4D1B" w:rsidRPr="008B4D1B" w:rsidRDefault="008B4D1B" w:rsidP="008B4D1B"/>
        </w:tc>
        <w:tc>
          <w:tcPr>
            <w:tcW w:w="0" w:type="auto"/>
            <w:shd w:val="clear" w:color="auto" w:fill="auto"/>
            <w:vAlign w:val="center"/>
            <w:hideMark/>
          </w:tcPr>
          <w:p w14:paraId="178109A3" w14:textId="77777777" w:rsidR="008B4D1B" w:rsidRPr="008B4D1B" w:rsidRDefault="008B4D1B" w:rsidP="008B4D1B"/>
        </w:tc>
      </w:tr>
    </w:tbl>
    <w:p w14:paraId="5289E443" w14:textId="77777777" w:rsidR="007003C0" w:rsidRDefault="007003C0"/>
    <w:sectPr w:rsidR="007003C0" w:rsidSect="008B4D1B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1B"/>
    <w:rsid w:val="004663A0"/>
    <w:rsid w:val="006C44A0"/>
    <w:rsid w:val="007003C0"/>
    <w:rsid w:val="00747225"/>
    <w:rsid w:val="007A46D4"/>
    <w:rsid w:val="008B4D1B"/>
    <w:rsid w:val="00922173"/>
    <w:rsid w:val="00A154B4"/>
    <w:rsid w:val="00A86935"/>
    <w:rsid w:val="00A928EA"/>
    <w:rsid w:val="00C6441E"/>
    <w:rsid w:val="00DF674B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26C1"/>
  <w15:chartTrackingRefBased/>
  <w15:docId w15:val="{84B82789-DF2E-498B-B943-DF47724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D1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B4D1B"/>
  </w:style>
  <w:style w:type="character" w:customStyle="1" w:styleId="mw-editsection">
    <w:name w:val="mw-editsection"/>
    <w:basedOn w:val="DefaultParagraphFont"/>
    <w:rsid w:val="008B4D1B"/>
  </w:style>
  <w:style w:type="character" w:customStyle="1" w:styleId="mw-editsection-bracket">
    <w:name w:val="mw-editsection-bracket"/>
    <w:basedOn w:val="DefaultParagraphFont"/>
    <w:rsid w:val="008B4D1B"/>
  </w:style>
  <w:style w:type="character" w:styleId="Hyperlink">
    <w:name w:val="Hyperlink"/>
    <w:basedOn w:val="DefaultParagraphFont"/>
    <w:uiPriority w:val="99"/>
    <w:unhideWhenUsed/>
    <w:rsid w:val="008B4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D1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4D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2019-05-11T02:04:00Z</cp:lastPrinted>
  <dcterms:created xsi:type="dcterms:W3CDTF">2019-05-12T00:30:00Z</dcterms:created>
  <dcterms:modified xsi:type="dcterms:W3CDTF">2019-05-12T01:23:00Z</dcterms:modified>
</cp:coreProperties>
</file>