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2847" w14:textId="7666505C" w:rsidR="003E221A" w:rsidRPr="003E221A" w:rsidRDefault="003E221A" w:rsidP="003E221A">
      <w:pPr>
        <w:rPr>
          <w:sz w:val="32"/>
          <w:szCs w:val="32"/>
        </w:rPr>
      </w:pPr>
      <w:r w:rsidRPr="003E221A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 w:rsidRPr="003E221A">
        <w:rPr>
          <w:sz w:val="32"/>
          <w:szCs w:val="32"/>
        </w:rPr>
        <w:t>T</w:t>
      </w:r>
      <w:r w:rsidRPr="003E221A">
        <w:rPr>
          <w:sz w:val="32"/>
          <w:szCs w:val="32"/>
        </w:rPr>
        <w:t>hings</w:t>
      </w:r>
      <w:r>
        <w:rPr>
          <w:sz w:val="32"/>
          <w:szCs w:val="32"/>
        </w:rPr>
        <w:t xml:space="preserve"> </w:t>
      </w:r>
      <w:r w:rsidRPr="003E221A">
        <w:rPr>
          <w:sz w:val="32"/>
          <w:szCs w:val="32"/>
        </w:rPr>
        <w:t>You</w:t>
      </w:r>
      <w:r>
        <w:rPr>
          <w:sz w:val="32"/>
          <w:szCs w:val="32"/>
        </w:rPr>
        <w:t xml:space="preserve"> </w:t>
      </w:r>
      <w:r w:rsidRPr="003E221A">
        <w:rPr>
          <w:sz w:val="32"/>
          <w:szCs w:val="32"/>
        </w:rPr>
        <w:t>Should</w:t>
      </w:r>
      <w:r>
        <w:rPr>
          <w:sz w:val="32"/>
          <w:szCs w:val="32"/>
        </w:rPr>
        <w:t xml:space="preserve"> </w:t>
      </w:r>
      <w:r w:rsidRPr="003E221A">
        <w:rPr>
          <w:sz w:val="32"/>
          <w:szCs w:val="32"/>
        </w:rPr>
        <w:t>Know</w:t>
      </w:r>
      <w:r>
        <w:rPr>
          <w:sz w:val="32"/>
          <w:szCs w:val="32"/>
        </w:rPr>
        <w:t xml:space="preserve"> </w:t>
      </w:r>
      <w:r w:rsidRPr="003E221A">
        <w:rPr>
          <w:sz w:val="32"/>
          <w:szCs w:val="32"/>
        </w:rPr>
        <w:t>about</w:t>
      </w:r>
      <w:r>
        <w:rPr>
          <w:sz w:val="32"/>
          <w:szCs w:val="32"/>
        </w:rPr>
        <w:t xml:space="preserve"> </w:t>
      </w:r>
      <w:r w:rsidRPr="003E221A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Pr="003E221A">
        <w:rPr>
          <w:sz w:val="32"/>
          <w:szCs w:val="32"/>
        </w:rPr>
        <w:t>Lord's</w:t>
      </w:r>
      <w:r>
        <w:rPr>
          <w:sz w:val="32"/>
          <w:szCs w:val="32"/>
        </w:rPr>
        <w:t xml:space="preserve"> </w:t>
      </w:r>
      <w:r w:rsidRPr="003E221A">
        <w:rPr>
          <w:sz w:val="32"/>
          <w:szCs w:val="32"/>
        </w:rPr>
        <w:t>Supper</w:t>
      </w:r>
    </w:p>
    <w:p w14:paraId="1E9C17EB" w14:textId="46BF84ED" w:rsidR="003E221A" w:rsidRPr="003E221A" w:rsidRDefault="003E221A" w:rsidP="003E221A">
      <w:r>
        <w:rPr>
          <w:b/>
          <w:bCs/>
        </w:rPr>
        <w:t xml:space="preserve">(as found in 1 Corinthians 11:23-34) by </w:t>
      </w:r>
      <w:r w:rsidRPr="003E221A">
        <w:rPr>
          <w:b/>
          <w:bCs/>
        </w:rPr>
        <w:t>Sam</w:t>
      </w:r>
      <w:r>
        <w:rPr>
          <w:b/>
          <w:bCs/>
        </w:rPr>
        <w:t xml:space="preserve"> </w:t>
      </w:r>
      <w:r w:rsidRPr="003E221A">
        <w:rPr>
          <w:b/>
          <w:bCs/>
        </w:rPr>
        <w:t>Storms</w:t>
      </w:r>
    </w:p>
    <w:p w14:paraId="014B1E9F" w14:textId="1D522AD8" w:rsidR="003E221A" w:rsidRPr="003E221A" w:rsidRDefault="003E221A" w:rsidP="003E221A">
      <w:pPr>
        <w:rPr>
          <w:sz w:val="20"/>
          <w:szCs w:val="20"/>
        </w:rPr>
      </w:pP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primary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biblical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text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nature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meaning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Lord’s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Supper/Table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Communion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1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Corinthians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11:23-34.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Here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ten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brief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observations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see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text.</w:t>
      </w:r>
    </w:p>
    <w:p w14:paraId="39E25EC7" w14:textId="23260B37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1)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Lord's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Supper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primarily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(but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exclusively)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designed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elicit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stimulate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our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hearts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remembrance</w:t>
      </w:r>
      <w:r w:rsidRPr="003E221A">
        <w:rPr>
          <w:i/>
          <w:iCs/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person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work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Jesus: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“Do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remembrance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me”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</w:t>
      </w:r>
      <w:hyperlink r:id="rId5" w:tgtFrame="_blank" w:history="1">
        <w:r w:rsidRPr="003E221A">
          <w:rPr>
            <w:rStyle w:val="Hyperlink"/>
            <w:sz w:val="20"/>
            <w:szCs w:val="20"/>
          </w:rPr>
          <w:t>1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Cor.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11:25</w:t>
        </w:r>
      </w:hyperlink>
      <w:r w:rsidRPr="003E221A">
        <w:rPr>
          <w:sz w:val="20"/>
          <w:szCs w:val="20"/>
        </w:rPr>
        <w:t>).</w:t>
      </w:r>
    </w:p>
    <w:p w14:paraId="3C5AC7CB" w14:textId="4CD52725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2)</w:t>
      </w:r>
      <w:r w:rsidRPr="003E221A">
        <w:rPr>
          <w:b/>
          <w:bCs/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remembrance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commanded</w:t>
      </w:r>
      <w:r w:rsidRPr="003E221A">
        <w:rPr>
          <w:sz w:val="20"/>
          <w:szCs w:val="20"/>
        </w:rPr>
        <w:t>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Participation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Lord's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Table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option.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Prolonged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absence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from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spiritually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unhealthy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willful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neglect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may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grounds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church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discipline.</w:t>
      </w:r>
    </w:p>
    <w:p w14:paraId="01AF9157" w14:textId="26E5B114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3)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remembrance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entails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use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tangible</w:t>
      </w:r>
      <w:r w:rsidRPr="003E221A">
        <w:rPr>
          <w:b/>
          <w:bCs/>
          <w:i/>
          <w:iCs/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elements: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bread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wine.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isn't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enough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simply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say,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“Remember!”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elements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bread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wine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given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stir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our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minds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hearts.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physical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action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eating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drinking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designed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remind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spiritually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“ingest”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depend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upon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Jesus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saving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benefits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life,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death,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resurrection.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Just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food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drink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essential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sustain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physical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existence,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also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blessings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benefits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through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body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blood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Christ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paramount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our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spiritual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flourishing.</w:t>
      </w:r>
    </w:p>
    <w:p w14:paraId="47675ADF" w14:textId="367AF88D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4)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personal</w:t>
      </w:r>
      <w:r w:rsidRPr="003E221A">
        <w:rPr>
          <w:i/>
          <w:iCs/>
          <w:sz w:val="20"/>
          <w:szCs w:val="20"/>
        </w:rPr>
        <w:t xml:space="preserve"> </w:t>
      </w:r>
      <w:r w:rsidRPr="003E221A">
        <w:rPr>
          <w:sz w:val="20"/>
          <w:szCs w:val="20"/>
        </w:rPr>
        <w:t>remembrance.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remember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Jesus.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focus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isn't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Abraham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Moses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Isaiah.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focus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longer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Jewish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Passover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night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betrayal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anything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else.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focus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Jesus.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“Do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remembrance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sz w:val="20"/>
          <w:szCs w:val="20"/>
        </w:rPr>
        <w:t>ME</w:t>
      </w:r>
      <w:r w:rsidRPr="003E221A">
        <w:rPr>
          <w:sz w:val="20"/>
          <w:szCs w:val="20"/>
        </w:rPr>
        <w:t>”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</w:t>
      </w:r>
      <w:hyperlink r:id="rId6" w:tgtFrame="_blank" w:history="1">
        <w:r w:rsidRPr="003E221A">
          <w:rPr>
            <w:rStyle w:val="Hyperlink"/>
            <w:sz w:val="20"/>
            <w:szCs w:val="20"/>
          </w:rPr>
          <w:t>1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Cor.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11:25</w:t>
        </w:r>
      </w:hyperlink>
      <w:r w:rsidRPr="003E221A">
        <w:rPr>
          <w:sz w:val="20"/>
          <w:szCs w:val="20"/>
        </w:rPr>
        <w:t>).</w:t>
      </w:r>
    </w:p>
    <w:p w14:paraId="6315F38E" w14:textId="507663B6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5)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remembering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also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confession</w:t>
      </w:r>
      <w:r w:rsidRPr="003E221A">
        <w:rPr>
          <w:sz w:val="20"/>
          <w:szCs w:val="20"/>
        </w:rPr>
        <w:t>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partaking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proofErr w:type="gramStart"/>
      <w:r w:rsidRPr="003E221A">
        <w:rPr>
          <w:sz w:val="20"/>
          <w:szCs w:val="20"/>
        </w:rPr>
        <w:t>elements</w:t>
      </w:r>
      <w:proofErr w:type="gramEnd"/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declare: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“Christ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gave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body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blood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me.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died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me.”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one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among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many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reasons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reject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practice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paedo-communion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giving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elements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Table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infants).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one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cannot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does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personally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consciously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confess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bread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wine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symbolize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body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blood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Jesus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sacrificed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sinners,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he/she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should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indeed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must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partake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them.</w:t>
      </w:r>
    </w:p>
    <w:p w14:paraId="5C2D778F" w14:textId="3B001911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6)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remembering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also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proclaim</w:t>
      </w:r>
      <w:r w:rsidRPr="003E221A">
        <w:rPr>
          <w:i/>
          <w:iCs/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Lord's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death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till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comes.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then,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merely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ordinance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looks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past.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ordinance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hope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points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future.</w:t>
      </w:r>
    </w:p>
    <w:p w14:paraId="4976915F" w14:textId="7A17AB3E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7)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partake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Lord's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Table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unworthy</w:t>
      </w:r>
      <w:r w:rsidRPr="003E221A">
        <w:rPr>
          <w:i/>
          <w:iCs/>
          <w:sz w:val="20"/>
          <w:szCs w:val="20"/>
        </w:rPr>
        <w:t xml:space="preserve"> </w:t>
      </w:r>
      <w:r w:rsidRPr="003E221A">
        <w:rPr>
          <w:sz w:val="20"/>
          <w:szCs w:val="20"/>
        </w:rPr>
        <w:t>manner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(v.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27)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take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without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regard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true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worth,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yours.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partake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unworthily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complacently,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light-heartedly,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giving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thought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which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elements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signify.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Marshall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explains: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"In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some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Christian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circles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today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fear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partaking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unworthily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Supper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leads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believers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otherwise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excellent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character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refraining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from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table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Whe</w:t>
      </w:r>
      <w:bookmarkStart w:id="0" w:name="_GoBack"/>
      <w:bookmarkEnd w:id="0"/>
      <w:r w:rsidRPr="003E221A">
        <w:rPr>
          <w:sz w:val="20"/>
          <w:szCs w:val="20"/>
        </w:rPr>
        <w:t>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happens,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Paul's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warning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misunderstood.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Lord's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Supper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place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where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forgiveness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proclaimed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offered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all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would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receive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it.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Paul's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warning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was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those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leading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unworthy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lives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longed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forgiveness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but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those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making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mockery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which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should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have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been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most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sacred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solemn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their</w:t>
      </w:r>
      <w:r w:rsidRPr="003E221A">
        <w:rPr>
          <w:sz w:val="20"/>
          <w:szCs w:val="20"/>
        </w:rPr>
        <w:t xml:space="preserve"> </w:t>
      </w:r>
      <w:proofErr w:type="spellStart"/>
      <w:r w:rsidRPr="003E221A">
        <w:rPr>
          <w:sz w:val="20"/>
          <w:szCs w:val="20"/>
        </w:rPr>
        <w:t>behaviour</w:t>
      </w:r>
      <w:proofErr w:type="spellEnd"/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meal”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</w:t>
      </w:r>
      <w:r w:rsidRPr="003E221A">
        <w:rPr>
          <w:i/>
          <w:iCs/>
          <w:sz w:val="20"/>
          <w:szCs w:val="20"/>
        </w:rPr>
        <w:t xml:space="preserve">Last Supper and Lord’s Supper </w:t>
      </w:r>
      <w:r w:rsidRPr="003E221A">
        <w:rPr>
          <w:sz w:val="20"/>
          <w:szCs w:val="20"/>
        </w:rPr>
        <w:t xml:space="preserve">page </w:t>
      </w:r>
      <w:r w:rsidRPr="003E221A">
        <w:rPr>
          <w:sz w:val="20"/>
          <w:szCs w:val="20"/>
        </w:rPr>
        <w:t>116).</w:t>
      </w:r>
    </w:p>
    <w:p w14:paraId="64B3B6B0" w14:textId="4DAA333A" w:rsidR="003E221A" w:rsidRPr="003E221A" w:rsidRDefault="003E221A" w:rsidP="003E221A">
      <w:pPr>
        <w:rPr>
          <w:sz w:val="20"/>
          <w:szCs w:val="20"/>
        </w:rPr>
      </w:pP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partake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"unworthy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manner"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thus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entails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least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three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things: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(a)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calloused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disregard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others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body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Christ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(see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vv.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20-22);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(b)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attempt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combine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participation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pagan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(demonic)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feasts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with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participation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Lord's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table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(see</w:t>
      </w:r>
      <w:r w:rsidRPr="003E221A">
        <w:rPr>
          <w:sz w:val="20"/>
          <w:szCs w:val="20"/>
        </w:rPr>
        <w:t xml:space="preserve"> </w:t>
      </w:r>
      <w:hyperlink r:id="rId7" w:tgtFrame="_blank" w:history="1">
        <w:r w:rsidRPr="003E221A">
          <w:rPr>
            <w:rStyle w:val="Hyperlink"/>
            <w:sz w:val="20"/>
            <w:szCs w:val="20"/>
          </w:rPr>
          <w:t>1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Cor.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10:14-22</w:t>
        </w:r>
      </w:hyperlink>
      <w:r w:rsidRPr="003E221A">
        <w:rPr>
          <w:sz w:val="20"/>
          <w:szCs w:val="20"/>
        </w:rPr>
        <w:t>);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(c)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flippant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disregard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elements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represent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(vv.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23-26).</w:t>
      </w:r>
    </w:p>
    <w:p w14:paraId="5D745B39" w14:textId="3611EB15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8)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“guilty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body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blood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Lord”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(v.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27)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treat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as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common</w:t>
      </w:r>
      <w:r w:rsidRPr="003E221A">
        <w:rPr>
          <w:i/>
          <w:iCs/>
          <w:sz w:val="20"/>
          <w:szCs w:val="20"/>
        </w:rPr>
        <w:t xml:space="preserve"> </w:t>
      </w:r>
      <w:r w:rsidRPr="003E221A">
        <w:rPr>
          <w:sz w:val="20"/>
          <w:szCs w:val="20"/>
        </w:rPr>
        <w:t>or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profane</w:t>
      </w:r>
      <w:r w:rsidRPr="003E221A">
        <w:rPr>
          <w:b/>
          <w:bCs/>
          <w:i/>
          <w:iCs/>
          <w:sz w:val="20"/>
          <w:szCs w:val="20"/>
        </w:rPr>
        <w:t xml:space="preserve"> </w:t>
      </w:r>
      <w:r w:rsidRPr="003E221A">
        <w:rPr>
          <w:sz w:val="20"/>
          <w:szCs w:val="20"/>
        </w:rPr>
        <w:t>something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which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sacred</w:t>
      </w:r>
      <w:r w:rsidRPr="003E221A">
        <w:rPr>
          <w:sz w:val="20"/>
          <w:szCs w:val="20"/>
        </w:rPr>
        <w:t>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Lord's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Supper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just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another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meal.</w:t>
      </w:r>
    </w:p>
    <w:p w14:paraId="53DC7904" w14:textId="25A74A5E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9)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Hence,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“examine</w:t>
      </w:r>
      <w:r w:rsidRPr="003E221A">
        <w:rPr>
          <w:b/>
          <w:bCs/>
          <w:i/>
          <w:iCs/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ourselves”</w:t>
      </w:r>
      <w:r w:rsidRPr="003E221A">
        <w:rPr>
          <w:i/>
          <w:iCs/>
          <w:sz w:val="20"/>
          <w:szCs w:val="20"/>
        </w:rPr>
        <w:t xml:space="preserve"> </w:t>
      </w:r>
      <w:r w:rsidRPr="003E221A">
        <w:rPr>
          <w:sz w:val="20"/>
          <w:szCs w:val="20"/>
        </w:rPr>
        <w:t>(v.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28).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test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our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motives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attitudes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approach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table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certain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partaking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right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reasons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with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right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understanding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elements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represent.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yet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another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argument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against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paedo-communion.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one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cannot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obey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Pauline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command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one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prepared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qualified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partake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elements.</w:t>
      </w:r>
    </w:p>
    <w:p w14:paraId="4C1B6A17" w14:textId="52205B55" w:rsidR="003E221A" w:rsidRPr="003E221A" w:rsidRDefault="003E221A" w:rsidP="003E221A">
      <w:pPr>
        <w:rPr>
          <w:sz w:val="20"/>
          <w:szCs w:val="20"/>
        </w:rPr>
      </w:pPr>
      <w:r w:rsidRPr="003E221A">
        <w:rPr>
          <w:b/>
          <w:bCs/>
          <w:sz w:val="20"/>
          <w:szCs w:val="20"/>
        </w:rPr>
        <w:t>10)</w:t>
      </w:r>
      <w:r w:rsidRPr="003E221A">
        <w:rPr>
          <w:b/>
          <w:bCs/>
          <w:sz w:val="20"/>
          <w:szCs w:val="20"/>
        </w:rPr>
        <w:t xml:space="preserve"> </w:t>
      </w:r>
      <w:r w:rsidRPr="003E221A">
        <w:rPr>
          <w:sz w:val="20"/>
          <w:szCs w:val="20"/>
        </w:rPr>
        <w:t>Finally,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failure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may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lead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divine</w:t>
      </w:r>
      <w:r w:rsidRPr="003E221A">
        <w:rPr>
          <w:b/>
          <w:bCs/>
          <w:i/>
          <w:iCs/>
          <w:sz w:val="20"/>
          <w:szCs w:val="20"/>
        </w:rPr>
        <w:t xml:space="preserve"> </w:t>
      </w:r>
      <w:r w:rsidRPr="003E221A">
        <w:rPr>
          <w:b/>
          <w:bCs/>
          <w:i/>
          <w:iCs/>
          <w:sz w:val="20"/>
          <w:szCs w:val="20"/>
        </w:rPr>
        <w:t>discipline</w:t>
      </w:r>
      <w:r w:rsidRPr="003E221A">
        <w:rPr>
          <w:i/>
          <w:iCs/>
          <w:sz w:val="20"/>
          <w:szCs w:val="20"/>
        </w:rPr>
        <w:t xml:space="preserve"> </w:t>
      </w:r>
      <w:r w:rsidRPr="003E221A">
        <w:rPr>
          <w:sz w:val="20"/>
          <w:szCs w:val="20"/>
        </w:rPr>
        <w:t>(</w:t>
      </w:r>
      <w:hyperlink r:id="rId8" w:tgtFrame="_blank" w:history="1">
        <w:r w:rsidRPr="003E221A">
          <w:rPr>
            <w:rStyle w:val="Hyperlink"/>
            <w:sz w:val="20"/>
            <w:szCs w:val="20"/>
          </w:rPr>
          <w:t>1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Cor.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11:29-34</w:t>
        </w:r>
      </w:hyperlink>
      <w:r w:rsidRPr="003E221A">
        <w:rPr>
          <w:sz w:val="20"/>
          <w:szCs w:val="20"/>
        </w:rPr>
        <w:t>).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Such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chastisement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from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Father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order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believers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may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spared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condemnation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comes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unbelieving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world.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Some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in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Corinth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had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already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suffered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discipline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God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(“weak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sick”);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some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had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even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died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physically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(“sleep”).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was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expression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of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God’s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gracious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commitment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preserve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his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people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“so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that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may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not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be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condemned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along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with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the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world”</w:t>
      </w:r>
      <w:r w:rsidRPr="003E221A">
        <w:rPr>
          <w:sz w:val="20"/>
          <w:szCs w:val="20"/>
        </w:rPr>
        <w:t xml:space="preserve"> </w:t>
      </w:r>
      <w:r w:rsidRPr="003E221A">
        <w:rPr>
          <w:sz w:val="20"/>
          <w:szCs w:val="20"/>
        </w:rPr>
        <w:t>(</w:t>
      </w:r>
      <w:hyperlink r:id="rId9" w:tgtFrame="_blank" w:history="1">
        <w:r w:rsidRPr="003E221A">
          <w:rPr>
            <w:rStyle w:val="Hyperlink"/>
            <w:sz w:val="20"/>
            <w:szCs w:val="20"/>
          </w:rPr>
          <w:t>1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Cor.</w:t>
        </w:r>
        <w:r w:rsidRPr="003E221A">
          <w:rPr>
            <w:rStyle w:val="Hyperlink"/>
            <w:sz w:val="20"/>
            <w:szCs w:val="20"/>
          </w:rPr>
          <w:t xml:space="preserve"> </w:t>
        </w:r>
        <w:r w:rsidRPr="003E221A">
          <w:rPr>
            <w:rStyle w:val="Hyperlink"/>
            <w:sz w:val="20"/>
            <w:szCs w:val="20"/>
          </w:rPr>
          <w:t>11:32b</w:t>
        </w:r>
      </w:hyperlink>
      <w:r w:rsidRPr="003E221A">
        <w:rPr>
          <w:sz w:val="20"/>
          <w:szCs w:val="20"/>
        </w:rPr>
        <w:t>).</w:t>
      </w:r>
    </w:p>
    <w:p w14:paraId="6F8064F9" w14:textId="77777777" w:rsidR="00664799" w:rsidRDefault="00664799"/>
    <w:sectPr w:rsidR="00664799" w:rsidSect="003E221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3920"/>
    <w:multiLevelType w:val="multilevel"/>
    <w:tmpl w:val="624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4075B"/>
    <w:multiLevelType w:val="hybridMultilevel"/>
    <w:tmpl w:val="A81A5FA2"/>
    <w:lvl w:ilvl="0" w:tplc="9386FF8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D16A0"/>
    <w:multiLevelType w:val="multilevel"/>
    <w:tmpl w:val="65F6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F66474"/>
    <w:multiLevelType w:val="hybridMultilevel"/>
    <w:tmpl w:val="68726A4A"/>
    <w:lvl w:ilvl="0" w:tplc="429CEE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1A"/>
    <w:rsid w:val="00206389"/>
    <w:rsid w:val="003E221A"/>
    <w:rsid w:val="00664799"/>
    <w:rsid w:val="00A437D0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3ED4"/>
  <w15:chartTrackingRefBased/>
  <w15:docId w15:val="{41B6F1C7-5608-4F56-A92E-62416CE6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2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6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studytools.com/esv/1-corinthians/passage/?q=1-corinthians+11:29-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studytools.com/esv/1-corinthians/passage/?q=1-corinthians+10:14-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studytools.com/esv/1-corinthians/11-2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studytools.com/esv/1-corinthians/11-2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estudytools.com/esv/1-corinthians/11-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2020-01-05T01:02:00Z</cp:lastPrinted>
  <dcterms:created xsi:type="dcterms:W3CDTF">2020-01-05T00:57:00Z</dcterms:created>
  <dcterms:modified xsi:type="dcterms:W3CDTF">2020-01-05T01:03:00Z</dcterms:modified>
</cp:coreProperties>
</file>