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2FE9" w14:textId="31FED0C6" w:rsidR="00CD478E" w:rsidRPr="00CD478E" w:rsidRDefault="00CE2F19" w:rsidP="00D937F5">
      <w:pPr>
        <w:jc w:val="center"/>
        <w:rPr>
          <w:rFonts w:ascii="Calibri" w:hAnsi="Calibri" w:cs="Calibri"/>
          <w:b/>
          <w:bCs/>
          <w:sz w:val="32"/>
          <w:szCs w:val="32"/>
        </w:rPr>
      </w:pPr>
      <w:r w:rsidRPr="00D937F5">
        <w:rPr>
          <w:rFonts w:ascii="Calibri" w:hAnsi="Calibri" w:cs="Calibri"/>
          <w:b/>
          <w:bCs/>
          <w:sz w:val="32"/>
          <w:szCs w:val="32"/>
        </w:rPr>
        <w:t xml:space="preserve">Denominational </w:t>
      </w:r>
      <w:r w:rsidR="00CD478E" w:rsidRPr="00CD478E">
        <w:rPr>
          <w:rFonts w:ascii="Calibri" w:hAnsi="Calibri" w:cs="Calibri"/>
          <w:b/>
          <w:bCs/>
          <w:sz w:val="32"/>
          <w:szCs w:val="32"/>
        </w:rPr>
        <w:t xml:space="preserve">Chart: </w:t>
      </w:r>
      <w:r w:rsidRPr="00D937F5">
        <w:rPr>
          <w:rFonts w:ascii="Calibri" w:hAnsi="Calibri" w:cs="Calibri"/>
          <w:b/>
          <w:bCs/>
          <w:sz w:val="32"/>
          <w:szCs w:val="32"/>
        </w:rPr>
        <w:t xml:space="preserve"> </w:t>
      </w:r>
      <w:r w:rsidR="00CD478E" w:rsidRPr="00CD478E">
        <w:rPr>
          <w:rFonts w:ascii="Calibri" w:hAnsi="Calibri" w:cs="Calibri"/>
          <w:b/>
          <w:bCs/>
          <w:sz w:val="32"/>
          <w:szCs w:val="32"/>
        </w:rPr>
        <w:t>“Can a believer lose</w:t>
      </w:r>
      <w:r w:rsidR="009F3C0A">
        <w:rPr>
          <w:rFonts w:ascii="Calibri" w:hAnsi="Calibri" w:cs="Calibri"/>
          <w:b/>
          <w:bCs/>
          <w:sz w:val="32"/>
          <w:szCs w:val="32"/>
        </w:rPr>
        <w:t xml:space="preserve"> their</w:t>
      </w:r>
      <w:r w:rsidR="00CD478E" w:rsidRPr="00CD478E">
        <w:rPr>
          <w:rFonts w:ascii="Calibri" w:hAnsi="Calibri" w:cs="Calibri"/>
          <w:b/>
          <w:bCs/>
          <w:sz w:val="32"/>
          <w:szCs w:val="32"/>
        </w:rPr>
        <w:t xml:space="preserve"> salvation?”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30"/>
        <w:gridCol w:w="30"/>
        <w:gridCol w:w="8893"/>
      </w:tblGrid>
      <w:tr w:rsidR="00CE2F19" w:rsidRPr="00D937F5" w14:paraId="39EA38BA" w14:textId="77777777" w:rsidTr="00CD478E">
        <w:trPr>
          <w:tblHeader/>
          <w:tblCellSpacing w:w="15" w:type="dxa"/>
        </w:trPr>
        <w:tc>
          <w:tcPr>
            <w:tcW w:w="0" w:type="auto"/>
            <w:gridSpan w:val="2"/>
            <w:vAlign w:val="center"/>
            <w:hideMark/>
          </w:tcPr>
          <w:p w14:paraId="03DCBCCF" w14:textId="77777777" w:rsidR="00CD478E" w:rsidRPr="00CD478E" w:rsidRDefault="00CD478E" w:rsidP="00CD478E">
            <w:pPr>
              <w:rPr>
                <w:rFonts w:ascii="Calibri" w:hAnsi="Calibri" w:cs="Calibri"/>
                <w:b/>
                <w:bCs/>
                <w:sz w:val="28"/>
                <w:szCs w:val="28"/>
              </w:rPr>
            </w:pPr>
            <w:r w:rsidRPr="00CD478E">
              <w:rPr>
                <w:rFonts w:ascii="Calibri" w:hAnsi="Calibri" w:cs="Calibri"/>
                <w:b/>
                <w:bCs/>
                <w:sz w:val="28"/>
                <w:szCs w:val="28"/>
              </w:rPr>
              <w:t>Denomination</w:t>
            </w:r>
          </w:p>
        </w:tc>
        <w:tc>
          <w:tcPr>
            <w:tcW w:w="0" w:type="auto"/>
            <w:gridSpan w:val="2"/>
            <w:vAlign w:val="center"/>
            <w:hideMark/>
          </w:tcPr>
          <w:p w14:paraId="46440114" w14:textId="351E51EA" w:rsidR="00CD478E" w:rsidRPr="00CD478E" w:rsidRDefault="00D937F5" w:rsidP="00CD478E">
            <w:pPr>
              <w:rPr>
                <w:rFonts w:ascii="Calibri" w:hAnsi="Calibri" w:cs="Calibri"/>
                <w:b/>
                <w:bCs/>
                <w:sz w:val="28"/>
                <w:szCs w:val="28"/>
              </w:rPr>
            </w:pPr>
            <w:r>
              <w:rPr>
                <w:rFonts w:ascii="Calibri" w:hAnsi="Calibri" w:cs="Calibri"/>
                <w:b/>
                <w:bCs/>
                <w:sz w:val="28"/>
                <w:szCs w:val="28"/>
              </w:rPr>
              <w:t xml:space="preserve">     </w:t>
            </w:r>
            <w:r w:rsidR="00CD478E" w:rsidRPr="00CD478E">
              <w:rPr>
                <w:rFonts w:ascii="Calibri" w:hAnsi="Calibri" w:cs="Calibri"/>
                <w:b/>
                <w:bCs/>
                <w:sz w:val="28"/>
                <w:szCs w:val="28"/>
              </w:rPr>
              <w:t>Can a believer lose their salvatio</w:t>
            </w:r>
            <w:r w:rsidR="00CE2F19" w:rsidRPr="00D937F5">
              <w:rPr>
                <w:rFonts w:ascii="Calibri" w:hAnsi="Calibri" w:cs="Calibri"/>
                <w:b/>
                <w:bCs/>
                <w:sz w:val="28"/>
                <w:szCs w:val="28"/>
              </w:rPr>
              <w:t>n</w:t>
            </w:r>
            <w:r w:rsidR="00CD478E" w:rsidRPr="00CD478E">
              <w:rPr>
                <w:rFonts w:ascii="Calibri" w:hAnsi="Calibri" w:cs="Calibri"/>
                <w:b/>
                <w:bCs/>
                <w:sz w:val="28"/>
                <w:szCs w:val="28"/>
              </w:rPr>
              <w:t>?</w:t>
            </w:r>
          </w:p>
        </w:tc>
      </w:tr>
      <w:tr w:rsidR="00CE2F19" w:rsidRPr="00D937F5" w14:paraId="41B55939" w14:textId="77777777" w:rsidTr="00CD478E">
        <w:trPr>
          <w:tblCellSpacing w:w="15" w:type="dxa"/>
        </w:trPr>
        <w:tc>
          <w:tcPr>
            <w:tcW w:w="0" w:type="auto"/>
            <w:gridSpan w:val="2"/>
            <w:vAlign w:val="center"/>
            <w:hideMark/>
          </w:tcPr>
          <w:p w14:paraId="698F16F4" w14:textId="77777777" w:rsidR="00CD478E" w:rsidRPr="00CD478E" w:rsidRDefault="00CD478E" w:rsidP="00CD478E">
            <w:pPr>
              <w:rPr>
                <w:rFonts w:ascii="Calibri" w:hAnsi="Calibri" w:cs="Calibri"/>
                <w:b/>
                <w:bCs/>
                <w:sz w:val="22"/>
                <w:szCs w:val="22"/>
              </w:rPr>
            </w:pPr>
            <w:r w:rsidRPr="00CD478E">
              <w:rPr>
                <w:rFonts w:ascii="Calibri" w:hAnsi="Calibri" w:cs="Calibri"/>
                <w:b/>
                <w:bCs/>
                <w:sz w:val="22"/>
                <w:szCs w:val="22"/>
              </w:rPr>
              <w:t>Catholic</w:t>
            </w:r>
          </w:p>
        </w:tc>
        <w:tc>
          <w:tcPr>
            <w:tcW w:w="0" w:type="auto"/>
            <w:gridSpan w:val="2"/>
            <w:vAlign w:val="center"/>
            <w:hideMark/>
          </w:tcPr>
          <w:p w14:paraId="3170713F" w14:textId="159BD23A" w:rsidR="00CD478E" w:rsidRPr="00CD478E" w:rsidRDefault="00CD478E" w:rsidP="00CD478E">
            <w:pPr>
              <w:rPr>
                <w:rFonts w:ascii="Calibri" w:hAnsi="Calibri" w:cs="Calibri"/>
                <w:sz w:val="22"/>
                <w:szCs w:val="22"/>
              </w:rPr>
            </w:pPr>
            <w:r w:rsidRPr="00CD478E">
              <w:rPr>
                <w:rFonts w:ascii="Calibri" w:hAnsi="Calibri" w:cs="Calibri"/>
                <w:b/>
                <w:bCs/>
                <w:sz w:val="22"/>
                <w:szCs w:val="22"/>
              </w:rPr>
              <w:t>Yes</w:t>
            </w:r>
            <w:r w:rsidRPr="00CD478E">
              <w:rPr>
                <w:rFonts w:ascii="Calibri" w:hAnsi="Calibri" w:cs="Calibri"/>
                <w:sz w:val="22"/>
                <w:szCs w:val="22"/>
              </w:rPr>
              <w:t xml:space="preserve"> —</w:t>
            </w:r>
            <w:r w:rsidRPr="00D937F5">
              <w:rPr>
                <w:rFonts w:ascii="Calibri" w:hAnsi="Calibri" w:cs="Calibri"/>
                <w:sz w:val="22"/>
                <w:szCs w:val="22"/>
              </w:rPr>
              <w:t xml:space="preserve">God's grace is always available, </w:t>
            </w:r>
            <w:r w:rsidR="009F3C0A">
              <w:rPr>
                <w:rFonts w:ascii="Calibri" w:hAnsi="Calibri" w:cs="Calibri"/>
                <w:sz w:val="22"/>
                <w:szCs w:val="22"/>
              </w:rPr>
              <w:t xml:space="preserve">but </w:t>
            </w:r>
            <w:r w:rsidRPr="00D937F5">
              <w:rPr>
                <w:rFonts w:ascii="Calibri" w:hAnsi="Calibri" w:cs="Calibri"/>
                <w:sz w:val="22"/>
                <w:szCs w:val="22"/>
              </w:rPr>
              <w:t xml:space="preserve">the Catholic Church </w:t>
            </w:r>
            <w:r w:rsidR="009F3C0A" w:rsidRPr="00D937F5">
              <w:rPr>
                <w:rFonts w:ascii="Calibri" w:hAnsi="Calibri" w:cs="Calibri"/>
                <w:sz w:val="22"/>
                <w:szCs w:val="22"/>
              </w:rPr>
              <w:t>declares</w:t>
            </w:r>
            <w:r w:rsidRPr="00D937F5">
              <w:rPr>
                <w:rFonts w:ascii="Calibri" w:hAnsi="Calibri" w:cs="Calibri"/>
                <w:sz w:val="22"/>
                <w:szCs w:val="22"/>
              </w:rPr>
              <w:t xml:space="preserve"> the possibility of a believer falling away from God's favor through mortal sin, requiring confession and penance for restoration.</w:t>
            </w:r>
          </w:p>
        </w:tc>
      </w:tr>
      <w:tr w:rsidR="00CE2F19" w:rsidRPr="00D937F5" w14:paraId="5A8334CB" w14:textId="77777777" w:rsidTr="00CD478E">
        <w:trPr>
          <w:tblCellSpacing w:w="15" w:type="dxa"/>
        </w:trPr>
        <w:tc>
          <w:tcPr>
            <w:tcW w:w="0" w:type="auto"/>
            <w:gridSpan w:val="2"/>
            <w:vAlign w:val="center"/>
            <w:hideMark/>
          </w:tcPr>
          <w:p w14:paraId="047D96F0" w14:textId="77777777" w:rsidR="00CD478E" w:rsidRPr="00CD478E" w:rsidRDefault="00CD478E" w:rsidP="00CD478E">
            <w:pPr>
              <w:rPr>
                <w:rFonts w:ascii="Calibri" w:hAnsi="Calibri" w:cs="Calibri"/>
                <w:b/>
                <w:bCs/>
                <w:sz w:val="22"/>
                <w:szCs w:val="22"/>
              </w:rPr>
            </w:pPr>
            <w:r w:rsidRPr="00CD478E">
              <w:rPr>
                <w:rFonts w:ascii="Calibri" w:hAnsi="Calibri" w:cs="Calibri"/>
                <w:b/>
                <w:bCs/>
                <w:sz w:val="22"/>
                <w:szCs w:val="22"/>
              </w:rPr>
              <w:t>Methodist</w:t>
            </w:r>
          </w:p>
        </w:tc>
        <w:tc>
          <w:tcPr>
            <w:tcW w:w="0" w:type="auto"/>
            <w:gridSpan w:val="2"/>
            <w:vAlign w:val="center"/>
            <w:hideMark/>
          </w:tcPr>
          <w:p w14:paraId="61141554" w14:textId="1160732A" w:rsidR="00CD478E" w:rsidRPr="00CD478E" w:rsidRDefault="00CD478E" w:rsidP="00D937F5">
            <w:pPr>
              <w:rPr>
                <w:rFonts w:ascii="Calibri" w:hAnsi="Calibri" w:cs="Calibri"/>
                <w:sz w:val="22"/>
                <w:szCs w:val="22"/>
              </w:rPr>
            </w:pPr>
            <w:r w:rsidRPr="00CD478E">
              <w:rPr>
                <w:rFonts w:ascii="Calibri" w:hAnsi="Calibri" w:cs="Calibri"/>
                <w:b/>
                <w:bCs/>
                <w:sz w:val="22"/>
                <w:szCs w:val="22"/>
              </w:rPr>
              <w:t xml:space="preserve">Yes </w:t>
            </w:r>
            <w:r w:rsidRPr="00CD478E">
              <w:rPr>
                <w:rFonts w:ascii="Calibri" w:hAnsi="Calibri" w:cs="Calibri"/>
                <w:sz w:val="22"/>
                <w:szCs w:val="22"/>
              </w:rPr>
              <w:t>— Wesleyan/Arminian tradition</w:t>
            </w:r>
            <w:r w:rsidR="009F3C0A">
              <w:rPr>
                <w:rFonts w:ascii="Calibri" w:hAnsi="Calibri" w:cs="Calibri"/>
                <w:sz w:val="22"/>
                <w:szCs w:val="22"/>
              </w:rPr>
              <w:t xml:space="preserve">. </w:t>
            </w:r>
            <w:r w:rsidRPr="00D937F5">
              <w:rPr>
                <w:rFonts w:ascii="Calibri" w:hAnsi="Calibri" w:cs="Calibri"/>
                <w:sz w:val="22"/>
                <w:szCs w:val="22"/>
              </w:rPr>
              <w:t>S</w:t>
            </w:r>
            <w:r w:rsidRPr="00CD478E">
              <w:rPr>
                <w:rFonts w:ascii="Calibri" w:hAnsi="Calibri" w:cs="Calibri"/>
                <w:sz w:val="22"/>
                <w:szCs w:val="22"/>
              </w:rPr>
              <w:t xml:space="preserve">ecurity is conditional; </w:t>
            </w:r>
            <w:r w:rsidR="00CE2F19" w:rsidRPr="00D937F5">
              <w:rPr>
                <w:rFonts w:ascii="Calibri" w:hAnsi="Calibri" w:cs="Calibri"/>
                <w:sz w:val="22"/>
                <w:szCs w:val="22"/>
              </w:rPr>
              <w:t>emphasizes free will and the possibility of rejecting God's grace after initially accepting it. It is possible for believers to fall away from that grace and forfeit their salvation. </w:t>
            </w:r>
          </w:p>
        </w:tc>
      </w:tr>
      <w:tr w:rsidR="00CE2F19" w:rsidRPr="00D937F5" w14:paraId="57A09A18" w14:textId="77777777" w:rsidTr="00397785">
        <w:trPr>
          <w:tblCellSpacing w:w="15" w:type="dxa"/>
        </w:trPr>
        <w:tc>
          <w:tcPr>
            <w:tcW w:w="0" w:type="auto"/>
            <w:gridSpan w:val="3"/>
            <w:vAlign w:val="center"/>
            <w:hideMark/>
          </w:tcPr>
          <w:p w14:paraId="76834250" w14:textId="078BAA58" w:rsidR="00CE2F19" w:rsidRPr="00CD478E" w:rsidRDefault="00CE2F19" w:rsidP="00397785">
            <w:pPr>
              <w:rPr>
                <w:rFonts w:ascii="Calibri" w:hAnsi="Calibri" w:cs="Calibri"/>
                <w:b/>
                <w:bCs/>
                <w:sz w:val="22"/>
                <w:szCs w:val="22"/>
              </w:rPr>
            </w:pPr>
            <w:r w:rsidRPr="00CD478E">
              <w:rPr>
                <w:rFonts w:ascii="Calibri" w:hAnsi="Calibri" w:cs="Calibri"/>
                <w:b/>
                <w:bCs/>
                <w:sz w:val="22"/>
                <w:szCs w:val="22"/>
              </w:rPr>
              <w:t>Assembly of God</w:t>
            </w:r>
            <w:r w:rsidR="009F3C0A">
              <w:rPr>
                <w:rFonts w:ascii="Calibri" w:hAnsi="Calibri" w:cs="Calibri"/>
                <w:b/>
                <w:bCs/>
                <w:sz w:val="22"/>
                <w:szCs w:val="22"/>
              </w:rPr>
              <w:br/>
              <w:t>(</w:t>
            </w:r>
            <w:r w:rsidR="008869B4">
              <w:rPr>
                <w:rFonts w:ascii="Calibri" w:hAnsi="Calibri" w:cs="Calibri"/>
                <w:b/>
                <w:bCs/>
                <w:sz w:val="22"/>
                <w:szCs w:val="22"/>
              </w:rPr>
              <w:t>Pentecostal</w:t>
            </w:r>
            <w:r w:rsidR="009F3C0A">
              <w:rPr>
                <w:rFonts w:ascii="Calibri" w:hAnsi="Calibri" w:cs="Calibri"/>
                <w:b/>
                <w:bCs/>
                <w:sz w:val="22"/>
                <w:szCs w:val="22"/>
              </w:rPr>
              <w:t>)</w:t>
            </w:r>
          </w:p>
        </w:tc>
        <w:tc>
          <w:tcPr>
            <w:tcW w:w="0" w:type="auto"/>
            <w:vAlign w:val="center"/>
            <w:hideMark/>
          </w:tcPr>
          <w:p w14:paraId="2493DD61" w14:textId="0DFFD448" w:rsidR="00CE2F19" w:rsidRPr="00CD478E" w:rsidRDefault="00CE2F19" w:rsidP="00D34F81">
            <w:pPr>
              <w:rPr>
                <w:rFonts w:ascii="Calibri" w:hAnsi="Calibri" w:cs="Calibri"/>
              </w:rPr>
            </w:pPr>
            <w:r w:rsidRPr="00CD478E">
              <w:rPr>
                <w:rFonts w:ascii="Calibri" w:hAnsi="Calibri" w:cs="Calibri"/>
                <w:b/>
                <w:bCs/>
                <w:sz w:val="22"/>
                <w:szCs w:val="22"/>
              </w:rPr>
              <w:t>Yes</w:t>
            </w:r>
            <w:r w:rsidRPr="00CD478E">
              <w:rPr>
                <w:rFonts w:ascii="Calibri" w:hAnsi="Calibri" w:cs="Calibri"/>
                <w:sz w:val="22"/>
                <w:szCs w:val="22"/>
              </w:rPr>
              <w:t xml:space="preserve"> — </w:t>
            </w:r>
            <w:r w:rsidR="009F3C0A" w:rsidRPr="00CD478E">
              <w:rPr>
                <w:rFonts w:ascii="Calibri" w:hAnsi="Calibri" w:cs="Calibri"/>
                <w:sz w:val="22"/>
                <w:szCs w:val="22"/>
              </w:rPr>
              <w:t>Wesleyan/Arminian tradition</w:t>
            </w:r>
            <w:r w:rsidR="009F3C0A">
              <w:rPr>
                <w:rFonts w:ascii="Calibri" w:hAnsi="Calibri" w:cs="Calibri"/>
                <w:sz w:val="22"/>
                <w:szCs w:val="22"/>
              </w:rPr>
              <w:t xml:space="preserve">. </w:t>
            </w:r>
            <w:r w:rsidRPr="00D937F5">
              <w:rPr>
                <w:rFonts w:ascii="Calibri" w:hAnsi="Calibri" w:cs="Calibri"/>
                <w:sz w:val="22"/>
                <w:szCs w:val="22"/>
              </w:rPr>
              <w:t>Believers who have a genuine conversion but later fall away and reject Christ cannot be renewed to repentance.</w:t>
            </w:r>
            <w:r w:rsidR="00156619">
              <w:rPr>
                <w:rFonts w:ascii="Calibri" w:hAnsi="Calibri" w:cs="Calibri"/>
                <w:sz w:val="22"/>
                <w:szCs w:val="22"/>
              </w:rPr>
              <w:t xml:space="preserve"> </w:t>
            </w:r>
            <w:r w:rsidRPr="00D937F5">
              <w:rPr>
                <w:rFonts w:ascii="Calibri" w:hAnsi="Calibri" w:cs="Calibri"/>
                <w:sz w:val="22"/>
                <w:szCs w:val="22"/>
              </w:rPr>
              <w:t>This doesn't mean salvation can be lost through ordinary sin, but rather through a conscious and complete turning away from Christ and the gospel.</w:t>
            </w:r>
            <w:r w:rsidRPr="00D937F5">
              <w:rPr>
                <w:rFonts w:ascii="Calibri" w:hAnsi="Calibri" w:cs="Calibri"/>
              </w:rPr>
              <w:t> </w:t>
            </w:r>
          </w:p>
        </w:tc>
      </w:tr>
      <w:tr w:rsidR="00CE2F19" w:rsidRPr="00D937F5" w14:paraId="5D9A4270" w14:textId="77777777" w:rsidTr="00CD478E">
        <w:trPr>
          <w:tblCellSpacing w:w="15" w:type="dxa"/>
        </w:trPr>
        <w:tc>
          <w:tcPr>
            <w:tcW w:w="0" w:type="auto"/>
            <w:gridSpan w:val="2"/>
            <w:vAlign w:val="center"/>
            <w:hideMark/>
          </w:tcPr>
          <w:p w14:paraId="332C01CE" w14:textId="77777777" w:rsidR="00CD478E" w:rsidRPr="00CD478E" w:rsidRDefault="00CD478E" w:rsidP="00CD478E">
            <w:pPr>
              <w:rPr>
                <w:rFonts w:ascii="Calibri" w:hAnsi="Calibri" w:cs="Calibri"/>
                <w:b/>
                <w:bCs/>
                <w:sz w:val="22"/>
                <w:szCs w:val="22"/>
              </w:rPr>
            </w:pPr>
            <w:r w:rsidRPr="00CD478E">
              <w:rPr>
                <w:rFonts w:ascii="Calibri" w:hAnsi="Calibri" w:cs="Calibri"/>
                <w:b/>
                <w:bCs/>
                <w:sz w:val="22"/>
                <w:szCs w:val="22"/>
              </w:rPr>
              <w:t>Nazarene</w:t>
            </w:r>
          </w:p>
        </w:tc>
        <w:tc>
          <w:tcPr>
            <w:tcW w:w="0" w:type="auto"/>
            <w:gridSpan w:val="2"/>
            <w:vAlign w:val="center"/>
            <w:hideMark/>
          </w:tcPr>
          <w:p w14:paraId="3A4E0172" w14:textId="79857036" w:rsidR="00CE2F19" w:rsidRPr="00CD478E" w:rsidRDefault="00CD478E" w:rsidP="00CE2F19">
            <w:pPr>
              <w:rPr>
                <w:rFonts w:ascii="Calibri" w:hAnsi="Calibri" w:cs="Calibri"/>
                <w:sz w:val="22"/>
                <w:szCs w:val="22"/>
              </w:rPr>
            </w:pPr>
            <w:r w:rsidRPr="00CD478E">
              <w:rPr>
                <w:rFonts w:ascii="Calibri" w:hAnsi="Calibri" w:cs="Calibri"/>
                <w:b/>
                <w:bCs/>
                <w:sz w:val="22"/>
                <w:szCs w:val="22"/>
              </w:rPr>
              <w:t>Yes</w:t>
            </w:r>
            <w:r w:rsidRPr="00CD478E">
              <w:rPr>
                <w:rFonts w:ascii="Calibri" w:hAnsi="Calibri" w:cs="Calibri"/>
                <w:sz w:val="22"/>
                <w:szCs w:val="22"/>
              </w:rPr>
              <w:t xml:space="preserve"> — Wesleyan-Holiness view</w:t>
            </w:r>
            <w:r w:rsidR="009F3C0A">
              <w:rPr>
                <w:rFonts w:ascii="Calibri" w:hAnsi="Calibri" w:cs="Calibri"/>
                <w:sz w:val="22"/>
                <w:szCs w:val="22"/>
              </w:rPr>
              <w:t>. G</w:t>
            </w:r>
            <w:r w:rsidRPr="00CD478E">
              <w:rPr>
                <w:rFonts w:ascii="Calibri" w:hAnsi="Calibri" w:cs="Calibri"/>
                <w:sz w:val="22"/>
                <w:szCs w:val="22"/>
              </w:rPr>
              <w:t>enuine believers may fall away.</w:t>
            </w:r>
            <w:r w:rsidRPr="00D937F5">
              <w:rPr>
                <w:rFonts w:ascii="Calibri" w:hAnsi="Calibri" w:cs="Calibri"/>
                <w:sz w:val="22"/>
                <w:szCs w:val="22"/>
              </w:rPr>
              <w:t xml:space="preserve"> </w:t>
            </w:r>
            <w:r w:rsidR="00066E4C">
              <w:rPr>
                <w:rFonts w:ascii="Calibri" w:hAnsi="Calibri" w:cs="Calibri"/>
                <w:sz w:val="22"/>
                <w:szCs w:val="22"/>
              </w:rPr>
              <w:t>W</w:t>
            </w:r>
            <w:r w:rsidR="00066E4C" w:rsidRPr="00066E4C">
              <w:rPr>
                <w:rFonts w:ascii="Calibri" w:hAnsi="Calibri" w:cs="Calibri"/>
                <w:sz w:val="22"/>
                <w:szCs w:val="22"/>
              </w:rPr>
              <w:t>hile God's grace is sufficient for salvation, and believers are part of God's family, it is possible for individuals to fall away from faith and forfeit their salvation.</w:t>
            </w:r>
            <w:r w:rsidR="00156619">
              <w:rPr>
                <w:rFonts w:ascii="Calibri" w:hAnsi="Calibri" w:cs="Calibri"/>
                <w:sz w:val="22"/>
                <w:szCs w:val="22"/>
              </w:rPr>
              <w:t xml:space="preserve"> </w:t>
            </w:r>
            <w:r w:rsidR="00066E4C">
              <w:rPr>
                <w:rFonts w:ascii="Calibri" w:hAnsi="Calibri" w:cs="Calibri"/>
                <w:sz w:val="22"/>
                <w:szCs w:val="22"/>
              </w:rPr>
              <w:t>S</w:t>
            </w:r>
            <w:r w:rsidR="00066E4C" w:rsidRPr="00066E4C">
              <w:rPr>
                <w:rFonts w:ascii="Calibri" w:hAnsi="Calibri" w:cs="Calibri"/>
                <w:sz w:val="22"/>
                <w:szCs w:val="22"/>
              </w:rPr>
              <w:t>alvation involves a relationship with Christ, which can be broken through willful disobedience and a turning away from God.</w:t>
            </w:r>
          </w:p>
        </w:tc>
      </w:tr>
      <w:tr w:rsidR="00D937F5" w:rsidRPr="00D937F5" w14:paraId="47459AD1" w14:textId="77777777" w:rsidTr="00397785">
        <w:trPr>
          <w:tblCellSpacing w:w="15" w:type="dxa"/>
        </w:trPr>
        <w:tc>
          <w:tcPr>
            <w:tcW w:w="0" w:type="auto"/>
            <w:gridSpan w:val="2"/>
            <w:vAlign w:val="center"/>
            <w:hideMark/>
          </w:tcPr>
          <w:p w14:paraId="68D1AD7B" w14:textId="4302285C" w:rsidR="00D937F5" w:rsidRPr="00CD478E" w:rsidRDefault="00D937F5" w:rsidP="00397785">
            <w:pPr>
              <w:rPr>
                <w:rFonts w:ascii="Calibri" w:hAnsi="Calibri" w:cs="Calibri"/>
                <w:b/>
                <w:bCs/>
                <w:sz w:val="22"/>
                <w:szCs w:val="22"/>
              </w:rPr>
            </w:pPr>
            <w:r>
              <w:rPr>
                <w:rFonts w:ascii="Calibri" w:hAnsi="Calibri" w:cs="Calibri"/>
                <w:b/>
                <w:bCs/>
                <w:sz w:val="22"/>
                <w:szCs w:val="22"/>
              </w:rPr>
              <w:t>Anglican</w:t>
            </w:r>
            <w:r w:rsidR="00156619">
              <w:rPr>
                <w:rFonts w:ascii="Calibri" w:hAnsi="Calibri" w:cs="Calibri"/>
                <w:b/>
                <w:bCs/>
                <w:sz w:val="22"/>
                <w:szCs w:val="22"/>
              </w:rPr>
              <w:t xml:space="preserve"> \ Episcopalian</w:t>
            </w:r>
          </w:p>
        </w:tc>
        <w:tc>
          <w:tcPr>
            <w:tcW w:w="0" w:type="auto"/>
            <w:gridSpan w:val="2"/>
            <w:vAlign w:val="center"/>
            <w:hideMark/>
          </w:tcPr>
          <w:p w14:paraId="4EF92678" w14:textId="5FD81579" w:rsidR="00D937F5" w:rsidRPr="00CD478E" w:rsidRDefault="00D937F5" w:rsidP="00D34F81">
            <w:pPr>
              <w:rPr>
                <w:rFonts w:ascii="Calibri" w:hAnsi="Calibri" w:cs="Calibri"/>
                <w:sz w:val="22"/>
                <w:szCs w:val="22"/>
              </w:rPr>
            </w:pPr>
            <w:r w:rsidRPr="00CD478E">
              <w:rPr>
                <w:rFonts w:ascii="Calibri" w:hAnsi="Calibri" w:cs="Calibri"/>
                <w:b/>
                <w:bCs/>
                <w:sz w:val="22"/>
                <w:szCs w:val="22"/>
              </w:rPr>
              <w:t>Yes</w:t>
            </w:r>
            <w:r w:rsidRPr="00D34F81">
              <w:rPr>
                <w:rFonts w:ascii="Calibri" w:hAnsi="Calibri" w:cs="Calibri"/>
                <w:b/>
                <w:bCs/>
                <w:sz w:val="22"/>
                <w:szCs w:val="22"/>
              </w:rPr>
              <w:t>-ish</w:t>
            </w:r>
            <w:r w:rsidRPr="00CD478E">
              <w:rPr>
                <w:rFonts w:ascii="Calibri" w:hAnsi="Calibri" w:cs="Calibri"/>
                <w:sz w:val="22"/>
                <w:szCs w:val="22"/>
              </w:rPr>
              <w:t xml:space="preserve"> — </w:t>
            </w:r>
            <w:r>
              <w:rPr>
                <w:rFonts w:ascii="Calibri" w:hAnsi="Calibri" w:cs="Calibri"/>
                <w:sz w:val="22"/>
                <w:szCs w:val="22"/>
              </w:rPr>
              <w:t>D</w:t>
            </w:r>
            <w:r w:rsidRPr="00D937F5">
              <w:rPr>
                <w:rFonts w:ascii="Calibri" w:hAnsi="Calibri" w:cs="Calibri"/>
                <w:sz w:val="22"/>
                <w:szCs w:val="22"/>
              </w:rPr>
              <w:t>oes not strictly adhere to the "once saved, always saved" doctrine, but it also doesn't explicitly teach that salvation can be lost.</w:t>
            </w:r>
            <w:r w:rsidR="00156619">
              <w:rPr>
                <w:rFonts w:ascii="Calibri" w:hAnsi="Calibri" w:cs="Calibri"/>
                <w:sz w:val="22"/>
                <w:szCs w:val="22"/>
              </w:rPr>
              <w:t xml:space="preserve"> </w:t>
            </w:r>
            <w:r w:rsidR="00D34F81" w:rsidRPr="00D34F81">
              <w:rPr>
                <w:rFonts w:ascii="Calibri" w:hAnsi="Calibri" w:cs="Calibri"/>
                <w:sz w:val="22"/>
                <w:szCs w:val="22"/>
              </w:rPr>
              <w:t>Article XVI of the Thirty-Nine Articles</w:t>
            </w:r>
            <w:r w:rsidR="00D34F81">
              <w:rPr>
                <w:rFonts w:ascii="Calibri" w:hAnsi="Calibri" w:cs="Calibri"/>
                <w:sz w:val="22"/>
                <w:szCs w:val="22"/>
              </w:rPr>
              <w:t xml:space="preserve"> </w:t>
            </w:r>
            <w:r w:rsidR="00D34F81" w:rsidRPr="00D34F81">
              <w:rPr>
                <w:rFonts w:ascii="Calibri" w:hAnsi="Calibri" w:cs="Calibri"/>
                <w:sz w:val="22"/>
                <w:szCs w:val="22"/>
              </w:rPr>
              <w:t>states that individuals can fall into sin after receiving grace but can also repent and be restored</w:t>
            </w:r>
            <w:r w:rsidR="00D34F81">
              <w:rPr>
                <w:rFonts w:ascii="Calibri" w:hAnsi="Calibri" w:cs="Calibri"/>
                <w:sz w:val="22"/>
                <w:szCs w:val="22"/>
              </w:rPr>
              <w:t>. T</w:t>
            </w:r>
            <w:r w:rsidR="00D34F81" w:rsidRPr="00D34F81">
              <w:rPr>
                <w:rFonts w:ascii="Calibri" w:hAnsi="Calibri" w:cs="Calibri"/>
                <w:sz w:val="22"/>
                <w:szCs w:val="22"/>
              </w:rPr>
              <w:t xml:space="preserve">he possibility of falling away from grace, </w:t>
            </w:r>
            <w:r w:rsidR="00D34F81">
              <w:rPr>
                <w:rFonts w:ascii="Calibri" w:hAnsi="Calibri" w:cs="Calibri"/>
                <w:sz w:val="22"/>
                <w:szCs w:val="22"/>
              </w:rPr>
              <w:t>(</w:t>
            </w:r>
            <w:r w:rsidR="00D34F81" w:rsidRPr="00D34F81">
              <w:rPr>
                <w:rFonts w:ascii="Calibri" w:hAnsi="Calibri" w:cs="Calibri"/>
                <w:sz w:val="22"/>
                <w:szCs w:val="22"/>
              </w:rPr>
              <w:t>a</w:t>
            </w:r>
            <w:r w:rsidR="00066E4C">
              <w:rPr>
                <w:rFonts w:ascii="Calibri" w:hAnsi="Calibri" w:cs="Calibri"/>
                <w:sz w:val="22"/>
                <w:szCs w:val="22"/>
              </w:rPr>
              <w:t>l</w:t>
            </w:r>
            <w:r w:rsidR="00D34F81" w:rsidRPr="00D34F81">
              <w:rPr>
                <w:rFonts w:ascii="Calibri" w:hAnsi="Calibri" w:cs="Calibri"/>
                <w:sz w:val="22"/>
                <w:szCs w:val="22"/>
              </w:rPr>
              <w:t>s</w:t>
            </w:r>
            <w:r w:rsidR="00066E4C">
              <w:rPr>
                <w:rFonts w:ascii="Calibri" w:hAnsi="Calibri" w:cs="Calibri"/>
                <w:sz w:val="22"/>
                <w:szCs w:val="22"/>
              </w:rPr>
              <w:t>o</w:t>
            </w:r>
            <w:r w:rsidR="00D34F81" w:rsidRPr="00D34F81">
              <w:rPr>
                <w:rFonts w:ascii="Calibri" w:hAnsi="Calibri" w:cs="Calibri"/>
                <w:sz w:val="22"/>
                <w:szCs w:val="22"/>
              </w:rPr>
              <w:t xml:space="preserve"> affirmed in Article XVI</w:t>
            </w:r>
            <w:r w:rsidR="00D34F81">
              <w:rPr>
                <w:rFonts w:ascii="Calibri" w:hAnsi="Calibri" w:cs="Calibri"/>
                <w:sz w:val="22"/>
                <w:szCs w:val="22"/>
              </w:rPr>
              <w:t>)</w:t>
            </w:r>
            <w:r w:rsidR="00D34F81" w:rsidRPr="00D34F81">
              <w:rPr>
                <w:rFonts w:ascii="Calibri" w:hAnsi="Calibri" w:cs="Calibri"/>
                <w:sz w:val="22"/>
                <w:szCs w:val="22"/>
              </w:rPr>
              <w:t xml:space="preserve"> implicitly rejects the idea of</w:t>
            </w:r>
            <w:r w:rsidR="00156619">
              <w:rPr>
                <w:rFonts w:ascii="Calibri" w:hAnsi="Calibri" w:cs="Calibri"/>
                <w:sz w:val="22"/>
                <w:szCs w:val="22"/>
              </w:rPr>
              <w:t xml:space="preserve"> </w:t>
            </w:r>
            <w:r w:rsidR="00D34F81">
              <w:rPr>
                <w:rFonts w:ascii="Calibri" w:hAnsi="Calibri" w:cs="Calibri"/>
                <w:sz w:val="22"/>
                <w:szCs w:val="22"/>
              </w:rPr>
              <w:t>“</w:t>
            </w:r>
            <w:r w:rsidR="00D34F81" w:rsidRPr="00D34F81">
              <w:rPr>
                <w:rFonts w:ascii="Calibri" w:hAnsi="Calibri" w:cs="Calibri"/>
                <w:sz w:val="22"/>
                <w:szCs w:val="22"/>
              </w:rPr>
              <w:t>once saved, always saved</w:t>
            </w:r>
            <w:r w:rsidR="00D34F81">
              <w:rPr>
                <w:rFonts w:ascii="Calibri" w:hAnsi="Calibri" w:cs="Calibri"/>
                <w:sz w:val="22"/>
                <w:szCs w:val="22"/>
              </w:rPr>
              <w:t>.</w:t>
            </w:r>
            <w:r w:rsidR="00D34F81" w:rsidRPr="00D34F81">
              <w:rPr>
                <w:rFonts w:ascii="Calibri" w:hAnsi="Calibri" w:cs="Calibri"/>
                <w:sz w:val="22"/>
                <w:szCs w:val="22"/>
              </w:rPr>
              <w:t>"</w:t>
            </w:r>
            <w:r w:rsidR="00156619">
              <w:rPr>
                <w:rFonts w:ascii="Calibri" w:hAnsi="Calibri" w:cs="Calibri"/>
                <w:sz w:val="22"/>
                <w:szCs w:val="22"/>
              </w:rPr>
              <w:t xml:space="preserve"> </w:t>
            </w:r>
          </w:p>
        </w:tc>
      </w:tr>
      <w:tr w:rsidR="00CE2F19" w:rsidRPr="00D937F5" w14:paraId="6F6703ED" w14:textId="77777777" w:rsidTr="00397785">
        <w:trPr>
          <w:tblCellSpacing w:w="15" w:type="dxa"/>
        </w:trPr>
        <w:tc>
          <w:tcPr>
            <w:tcW w:w="0" w:type="auto"/>
            <w:gridSpan w:val="2"/>
            <w:vAlign w:val="center"/>
            <w:hideMark/>
          </w:tcPr>
          <w:p w14:paraId="08A04971" w14:textId="77777777" w:rsidR="00CE2F19" w:rsidRPr="00CD478E" w:rsidRDefault="00CE2F19" w:rsidP="00397785">
            <w:pPr>
              <w:rPr>
                <w:rFonts w:ascii="Calibri" w:hAnsi="Calibri" w:cs="Calibri"/>
                <w:b/>
                <w:bCs/>
                <w:sz w:val="22"/>
                <w:szCs w:val="22"/>
              </w:rPr>
            </w:pPr>
            <w:r w:rsidRPr="00CD478E">
              <w:rPr>
                <w:rFonts w:ascii="Calibri" w:hAnsi="Calibri" w:cs="Calibri"/>
                <w:b/>
                <w:bCs/>
                <w:sz w:val="22"/>
                <w:szCs w:val="22"/>
              </w:rPr>
              <w:t>Lutheran</w:t>
            </w:r>
          </w:p>
        </w:tc>
        <w:tc>
          <w:tcPr>
            <w:tcW w:w="0" w:type="auto"/>
            <w:gridSpan w:val="2"/>
            <w:vAlign w:val="center"/>
            <w:hideMark/>
          </w:tcPr>
          <w:p w14:paraId="082E32FF" w14:textId="02EEE33E" w:rsidR="00D937F5" w:rsidRPr="00CD478E" w:rsidRDefault="00CE2F19" w:rsidP="00D937F5">
            <w:pPr>
              <w:rPr>
                <w:rFonts w:ascii="Calibri" w:hAnsi="Calibri" w:cs="Calibri"/>
                <w:sz w:val="22"/>
                <w:szCs w:val="22"/>
              </w:rPr>
            </w:pPr>
            <w:r w:rsidRPr="00CD478E">
              <w:rPr>
                <w:rFonts w:ascii="Calibri" w:hAnsi="Calibri" w:cs="Calibri"/>
                <w:b/>
                <w:bCs/>
                <w:sz w:val="22"/>
                <w:szCs w:val="22"/>
              </w:rPr>
              <w:t>Yes</w:t>
            </w:r>
            <w:r w:rsidR="00D937F5" w:rsidRPr="00D34F81">
              <w:rPr>
                <w:rFonts w:ascii="Calibri" w:hAnsi="Calibri" w:cs="Calibri"/>
                <w:b/>
                <w:bCs/>
                <w:sz w:val="22"/>
                <w:szCs w:val="22"/>
              </w:rPr>
              <w:t>-ish</w:t>
            </w:r>
            <w:r w:rsidRPr="00CD478E">
              <w:rPr>
                <w:rFonts w:ascii="Calibri" w:hAnsi="Calibri" w:cs="Calibri"/>
                <w:sz w:val="22"/>
                <w:szCs w:val="22"/>
              </w:rPr>
              <w:t xml:space="preserve"> —</w:t>
            </w:r>
            <w:r w:rsidR="00D937F5" w:rsidRPr="00D937F5">
              <w:rPr>
                <w:rFonts w:ascii="Roboto" w:hAnsi="Roboto"/>
                <w:color w:val="001D35"/>
                <w:sz w:val="27"/>
                <w:szCs w:val="27"/>
                <w:shd w:val="clear" w:color="auto" w:fill="FFFFFF"/>
              </w:rPr>
              <w:t xml:space="preserve"> </w:t>
            </w:r>
            <w:r w:rsidR="00D937F5" w:rsidRPr="00D937F5">
              <w:rPr>
                <w:rFonts w:ascii="Calibri" w:hAnsi="Calibri" w:cs="Calibri"/>
                <w:sz w:val="22"/>
                <w:szCs w:val="22"/>
              </w:rPr>
              <w:t>While Lutherans believe in the security of the believer in Christ, they also recognize that it is possible for a believer to fall away from faith and potentially lose their salvation.</w:t>
            </w:r>
            <w:r w:rsidR="00156619">
              <w:rPr>
                <w:rFonts w:ascii="Calibri" w:hAnsi="Calibri" w:cs="Calibri"/>
                <w:sz w:val="22"/>
                <w:szCs w:val="22"/>
              </w:rPr>
              <w:t xml:space="preserve"> </w:t>
            </w:r>
            <w:r w:rsidR="00D937F5" w:rsidRPr="00D937F5">
              <w:rPr>
                <w:rFonts w:ascii="Calibri" w:hAnsi="Calibri" w:cs="Calibri"/>
                <w:sz w:val="22"/>
                <w:szCs w:val="22"/>
              </w:rPr>
              <w:t>This is not a denial of the doctrine of grace, but rather a recognition of the potential for human will to reject God's gift.</w:t>
            </w:r>
            <w:r w:rsidR="00D937F5">
              <w:rPr>
                <w:rFonts w:ascii="Calibri" w:hAnsi="Calibri" w:cs="Calibri"/>
                <w:sz w:val="22"/>
                <w:szCs w:val="22"/>
              </w:rPr>
              <w:t xml:space="preserve"> </w:t>
            </w:r>
            <w:r w:rsidR="00D937F5" w:rsidRPr="00D937F5">
              <w:rPr>
                <w:rFonts w:ascii="Calibri" w:hAnsi="Calibri" w:cs="Calibri"/>
                <w:sz w:val="22"/>
                <w:szCs w:val="22"/>
              </w:rPr>
              <w:t xml:space="preserve">This view differs from those who hold to the doctrine of "once saved, always saved," </w:t>
            </w:r>
            <w:r w:rsidR="00156619">
              <w:rPr>
                <w:rFonts w:ascii="Calibri" w:hAnsi="Calibri" w:cs="Calibri"/>
                <w:sz w:val="22"/>
                <w:szCs w:val="22"/>
              </w:rPr>
              <w:t xml:space="preserve">(see Baptist below) </w:t>
            </w:r>
            <w:r w:rsidR="00D937F5" w:rsidRPr="00D937F5">
              <w:rPr>
                <w:rFonts w:ascii="Calibri" w:hAnsi="Calibri" w:cs="Calibri"/>
                <w:sz w:val="22"/>
                <w:szCs w:val="22"/>
              </w:rPr>
              <w:t>which posits that once a person is saved, they cannot lose their salvation.</w:t>
            </w:r>
            <w:r w:rsidR="00156619">
              <w:rPr>
                <w:rFonts w:ascii="Calibri" w:hAnsi="Calibri" w:cs="Calibri"/>
                <w:sz w:val="22"/>
                <w:szCs w:val="22"/>
              </w:rPr>
              <w:t xml:space="preserve"> </w:t>
            </w:r>
            <w:r w:rsidR="00D937F5" w:rsidRPr="00D937F5">
              <w:rPr>
                <w:rFonts w:ascii="Calibri" w:hAnsi="Calibri" w:cs="Calibri"/>
                <w:sz w:val="22"/>
                <w:szCs w:val="22"/>
              </w:rPr>
              <w:t>Lutherans, while affirming the security of believers, acknowledge the possibility of falling away from faith and the potential consequences.</w:t>
            </w:r>
          </w:p>
        </w:tc>
      </w:tr>
      <w:tr w:rsidR="00CE2F19" w:rsidRPr="00D937F5" w14:paraId="2B9ACC36" w14:textId="77777777" w:rsidTr="00397785">
        <w:trPr>
          <w:tblCellSpacing w:w="15" w:type="dxa"/>
        </w:trPr>
        <w:tc>
          <w:tcPr>
            <w:tcW w:w="0" w:type="auto"/>
            <w:gridSpan w:val="2"/>
            <w:vAlign w:val="center"/>
          </w:tcPr>
          <w:p w14:paraId="32705C1D" w14:textId="77777777" w:rsidR="00CE2F19" w:rsidRPr="00D937F5" w:rsidRDefault="00CE2F19" w:rsidP="00397785">
            <w:pPr>
              <w:rPr>
                <w:rFonts w:ascii="Calibri" w:hAnsi="Calibri" w:cs="Calibri"/>
                <w:b/>
                <w:bCs/>
                <w:sz w:val="22"/>
                <w:szCs w:val="22"/>
              </w:rPr>
            </w:pPr>
          </w:p>
        </w:tc>
        <w:tc>
          <w:tcPr>
            <w:tcW w:w="0" w:type="auto"/>
            <w:gridSpan w:val="2"/>
            <w:vAlign w:val="center"/>
          </w:tcPr>
          <w:p w14:paraId="1B8A819B" w14:textId="260F8C98" w:rsidR="00CE2F19" w:rsidRPr="00D937F5" w:rsidRDefault="00CE2F19" w:rsidP="00397785">
            <w:pPr>
              <w:rPr>
                <w:rFonts w:ascii="Calibri" w:hAnsi="Calibri" w:cs="Calibri"/>
                <w:b/>
                <w:bCs/>
              </w:rPr>
            </w:pPr>
            <w:r w:rsidRPr="00D937F5">
              <w:rPr>
                <w:rFonts w:ascii="Calibri" w:hAnsi="Calibri" w:cs="Calibri"/>
                <w:b/>
                <w:bCs/>
              </w:rPr>
              <w:t>NO</w:t>
            </w:r>
          </w:p>
        </w:tc>
      </w:tr>
      <w:tr w:rsidR="00CE2F19" w:rsidRPr="00D937F5" w14:paraId="3943F121" w14:textId="77777777" w:rsidTr="00397785">
        <w:trPr>
          <w:tblCellSpacing w:w="15" w:type="dxa"/>
        </w:trPr>
        <w:tc>
          <w:tcPr>
            <w:tcW w:w="0" w:type="auto"/>
            <w:gridSpan w:val="2"/>
            <w:vAlign w:val="center"/>
            <w:hideMark/>
          </w:tcPr>
          <w:p w14:paraId="0572EE79" w14:textId="77777777" w:rsidR="00CE2F19" w:rsidRPr="00CD478E" w:rsidRDefault="00CE2F19" w:rsidP="00397785">
            <w:pPr>
              <w:rPr>
                <w:rFonts w:ascii="Calibri" w:hAnsi="Calibri" w:cs="Calibri"/>
                <w:b/>
                <w:bCs/>
                <w:sz w:val="22"/>
                <w:szCs w:val="22"/>
              </w:rPr>
            </w:pPr>
            <w:r w:rsidRPr="00CD478E">
              <w:rPr>
                <w:rFonts w:ascii="Calibri" w:hAnsi="Calibri" w:cs="Calibri"/>
                <w:b/>
                <w:bCs/>
                <w:sz w:val="22"/>
                <w:szCs w:val="22"/>
              </w:rPr>
              <w:t>Presbyterian</w:t>
            </w:r>
          </w:p>
        </w:tc>
        <w:tc>
          <w:tcPr>
            <w:tcW w:w="0" w:type="auto"/>
            <w:gridSpan w:val="2"/>
            <w:vAlign w:val="center"/>
            <w:hideMark/>
          </w:tcPr>
          <w:p w14:paraId="253339FA" w14:textId="3B6CEF20" w:rsidR="00CE2F19" w:rsidRPr="00CD478E" w:rsidRDefault="00CE2F19" w:rsidP="00397785">
            <w:pPr>
              <w:rPr>
                <w:rFonts w:ascii="Calibri" w:hAnsi="Calibri" w:cs="Calibri"/>
                <w:sz w:val="22"/>
                <w:szCs w:val="22"/>
              </w:rPr>
            </w:pPr>
            <w:r w:rsidRPr="00CD478E">
              <w:rPr>
                <w:rFonts w:ascii="Calibri" w:hAnsi="Calibri" w:cs="Calibri"/>
                <w:b/>
                <w:bCs/>
                <w:sz w:val="22"/>
                <w:szCs w:val="22"/>
              </w:rPr>
              <w:t xml:space="preserve">No </w:t>
            </w:r>
            <w:r w:rsidRPr="00CD478E">
              <w:rPr>
                <w:rFonts w:ascii="Calibri" w:hAnsi="Calibri" w:cs="Calibri"/>
                <w:sz w:val="22"/>
                <w:szCs w:val="22"/>
              </w:rPr>
              <w:t xml:space="preserve">— Reformed view: </w:t>
            </w:r>
            <w:r w:rsidR="00D937F5" w:rsidRPr="00D937F5">
              <w:rPr>
                <w:rFonts w:ascii="Calibri" w:hAnsi="Calibri" w:cs="Calibri"/>
                <w:sz w:val="22"/>
                <w:szCs w:val="22"/>
              </w:rPr>
              <w:t>True Christians, once saved, cannot lose their salvation.</w:t>
            </w:r>
            <w:r w:rsidR="00156619">
              <w:rPr>
                <w:rFonts w:ascii="Calibri" w:hAnsi="Calibri" w:cs="Calibri"/>
                <w:sz w:val="22"/>
                <w:szCs w:val="22"/>
              </w:rPr>
              <w:t xml:space="preserve"> </w:t>
            </w:r>
            <w:r w:rsidR="00D937F5" w:rsidRPr="00D937F5">
              <w:rPr>
                <w:rFonts w:ascii="Calibri" w:hAnsi="Calibri" w:cs="Calibri"/>
                <w:sz w:val="22"/>
                <w:szCs w:val="22"/>
              </w:rPr>
              <w:t>This belief, often termed "perseverance of the saints," (the “P” in TULIP) is rooted in the idea that God's grace is the foundation of salvation and His power ensures that those chosen by Him will persevere in faith until the end. T</w:t>
            </w:r>
            <w:r w:rsidRPr="00CD478E">
              <w:rPr>
                <w:rFonts w:ascii="Calibri" w:hAnsi="Calibri" w:cs="Calibri"/>
                <w:sz w:val="22"/>
                <w:szCs w:val="22"/>
              </w:rPr>
              <w:t>hose who fall away were never truly converted.</w:t>
            </w:r>
            <w:r w:rsidRPr="00D937F5">
              <w:rPr>
                <w:rFonts w:ascii="Calibri" w:hAnsi="Calibri" w:cs="Calibri"/>
                <w:sz w:val="22"/>
                <w:szCs w:val="22"/>
              </w:rPr>
              <w:t xml:space="preserve"> </w:t>
            </w:r>
          </w:p>
        </w:tc>
      </w:tr>
      <w:tr w:rsidR="00CE2F19" w:rsidRPr="00D937F5" w14:paraId="1F0C02F5" w14:textId="77777777" w:rsidTr="00397785">
        <w:trPr>
          <w:tblCellSpacing w:w="15" w:type="dxa"/>
        </w:trPr>
        <w:tc>
          <w:tcPr>
            <w:tcW w:w="0" w:type="auto"/>
            <w:vAlign w:val="center"/>
            <w:hideMark/>
          </w:tcPr>
          <w:p w14:paraId="7019B7FF" w14:textId="77777777" w:rsidR="00CE2F19" w:rsidRPr="00CD478E" w:rsidRDefault="00CE2F19" w:rsidP="00397785">
            <w:pPr>
              <w:rPr>
                <w:rFonts w:ascii="Calibri" w:hAnsi="Calibri" w:cs="Calibri"/>
                <w:b/>
                <w:bCs/>
                <w:sz w:val="22"/>
                <w:szCs w:val="22"/>
              </w:rPr>
            </w:pPr>
            <w:r w:rsidRPr="00CD478E">
              <w:rPr>
                <w:rFonts w:ascii="Calibri" w:hAnsi="Calibri" w:cs="Calibri"/>
                <w:b/>
                <w:bCs/>
                <w:sz w:val="22"/>
                <w:szCs w:val="22"/>
              </w:rPr>
              <w:t>Baptist</w:t>
            </w:r>
          </w:p>
        </w:tc>
        <w:tc>
          <w:tcPr>
            <w:tcW w:w="0" w:type="auto"/>
            <w:gridSpan w:val="3"/>
            <w:vAlign w:val="center"/>
            <w:hideMark/>
          </w:tcPr>
          <w:p w14:paraId="25B4AADF" w14:textId="545081A6" w:rsidR="00CE2F19" w:rsidRPr="00CD478E" w:rsidRDefault="00CE2F19" w:rsidP="00397785">
            <w:pPr>
              <w:rPr>
                <w:rFonts w:ascii="Calibri" w:hAnsi="Calibri" w:cs="Calibri"/>
                <w:sz w:val="22"/>
                <w:szCs w:val="22"/>
              </w:rPr>
            </w:pPr>
            <w:r w:rsidRPr="00CD478E">
              <w:rPr>
                <w:rFonts w:ascii="Calibri" w:hAnsi="Calibri" w:cs="Calibri"/>
                <w:b/>
                <w:bCs/>
                <w:sz w:val="22"/>
                <w:szCs w:val="22"/>
              </w:rPr>
              <w:t>No (typically)</w:t>
            </w:r>
            <w:r w:rsidRPr="00CD478E">
              <w:rPr>
                <w:rFonts w:ascii="Calibri" w:hAnsi="Calibri" w:cs="Calibri"/>
                <w:sz w:val="22"/>
                <w:szCs w:val="22"/>
              </w:rPr>
              <w:t xml:space="preserve"> — </w:t>
            </w:r>
            <w:r w:rsidRPr="00D937F5">
              <w:rPr>
                <w:rFonts w:ascii="Calibri" w:hAnsi="Calibri" w:cs="Calibri"/>
                <w:sz w:val="22"/>
                <w:szCs w:val="22"/>
              </w:rPr>
              <w:t xml:space="preserve">The doctrine of eternal security (also known as once saved, always saved), believing that once a person is truly saved, their salvation is guaranteed by God's grace and cannot be lost. Some within </w:t>
            </w:r>
            <w:r w:rsidR="00066E4C">
              <w:rPr>
                <w:rFonts w:ascii="Calibri" w:hAnsi="Calibri" w:cs="Calibri"/>
                <w:sz w:val="22"/>
                <w:szCs w:val="22"/>
              </w:rPr>
              <w:t>various Baptist traditions</w:t>
            </w:r>
            <w:r w:rsidRPr="00D937F5">
              <w:rPr>
                <w:rFonts w:ascii="Calibri" w:hAnsi="Calibri" w:cs="Calibri"/>
                <w:sz w:val="22"/>
                <w:szCs w:val="22"/>
              </w:rPr>
              <w:t xml:space="preserve"> believe that believers can, through persistent unrepentant sin, forfeit their salvation. </w:t>
            </w:r>
          </w:p>
        </w:tc>
      </w:tr>
    </w:tbl>
    <w:p w14:paraId="7C4C986D" w14:textId="18E9AEA0" w:rsidR="00CD478E" w:rsidRPr="00CD478E" w:rsidRDefault="00CD478E" w:rsidP="00CD478E">
      <w:pPr>
        <w:rPr>
          <w:rFonts w:ascii="Calibri" w:hAnsi="Calibri" w:cs="Calibri"/>
        </w:rPr>
      </w:pPr>
    </w:p>
    <w:sectPr w:rsidR="00CD478E" w:rsidRPr="00CD478E" w:rsidSect="00D80EBE">
      <w:footerReference w:type="first" r:id="rId7"/>
      <w:pgSz w:w="12240" w:h="15840" w:code="1"/>
      <w:pgMar w:top="720" w:right="720" w:bottom="720" w:left="720" w:header="288" w:footer="43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93AC" w14:textId="77777777" w:rsidR="00EC2B90" w:rsidRDefault="00EC2B90" w:rsidP="009F3C0A">
      <w:pPr>
        <w:spacing w:after="0" w:line="240" w:lineRule="auto"/>
      </w:pPr>
      <w:r>
        <w:separator/>
      </w:r>
    </w:p>
  </w:endnote>
  <w:endnote w:type="continuationSeparator" w:id="0">
    <w:p w14:paraId="489DB939" w14:textId="77777777" w:rsidR="00EC2B90" w:rsidRDefault="00EC2B90" w:rsidP="009F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C693" w14:textId="3BB9368C" w:rsidR="009F3C0A" w:rsidRPr="00066E4C" w:rsidRDefault="00066E4C" w:rsidP="009F3C0A">
    <w:pPr>
      <w:pStyle w:val="Footer"/>
      <w:jc w:val="right"/>
      <w:rPr>
        <w:rFonts w:ascii="Calibri" w:hAnsi="Calibri" w:cs="Calibri"/>
        <w:sz w:val="20"/>
        <w:szCs w:val="20"/>
      </w:rPr>
    </w:pPr>
    <w:r w:rsidRPr="00066E4C">
      <w:rPr>
        <w:rFonts w:ascii="Calibri" w:hAnsi="Calibri" w:cs="Calibri"/>
        <w:sz w:val="20"/>
        <w:szCs w:val="20"/>
      </w:rPr>
      <w:t>Compiled</w:t>
    </w:r>
    <w:r w:rsidR="008869B4">
      <w:rPr>
        <w:rFonts w:ascii="Calibri" w:hAnsi="Calibri" w:cs="Calibri"/>
        <w:sz w:val="20"/>
        <w:szCs w:val="20"/>
      </w:rPr>
      <w:t xml:space="preserve"> from various denominational sources</w:t>
    </w:r>
    <w:r w:rsidR="009F3C0A" w:rsidRPr="00066E4C">
      <w:rPr>
        <w:rFonts w:ascii="Calibri" w:hAnsi="Calibri" w:cs="Calibri"/>
        <w:sz w:val="20"/>
        <w:szCs w:val="20"/>
      </w:rPr>
      <w:t xml:space="preserve"> by Steve Laube</w:t>
    </w:r>
    <w:r w:rsidR="00B531E2">
      <w:rPr>
        <w:rFonts w:ascii="Calibri" w:hAnsi="Calibri" w:cs="Calibri"/>
        <w:sz w:val="20"/>
        <w:szCs w:val="20"/>
      </w:rPr>
      <w:t xml:space="preserve"> </w:t>
    </w:r>
    <w:r w:rsidR="009F3C0A" w:rsidRPr="00066E4C">
      <w:rPr>
        <w:rFonts w:ascii="Calibri" w:hAnsi="Calibri" w:cs="Calibri"/>
        <w:sz w:val="20"/>
        <w:szCs w:val="20"/>
      </w:rPr>
      <w:t>–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C544" w14:textId="77777777" w:rsidR="00EC2B90" w:rsidRDefault="00EC2B90" w:rsidP="009F3C0A">
      <w:pPr>
        <w:spacing w:after="0" w:line="240" w:lineRule="auto"/>
      </w:pPr>
      <w:r>
        <w:separator/>
      </w:r>
    </w:p>
  </w:footnote>
  <w:footnote w:type="continuationSeparator" w:id="0">
    <w:p w14:paraId="2BD2684B" w14:textId="77777777" w:rsidR="00EC2B90" w:rsidRDefault="00EC2B90" w:rsidP="009F3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444D"/>
    <w:multiLevelType w:val="multilevel"/>
    <w:tmpl w:val="1482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B1942"/>
    <w:multiLevelType w:val="multilevel"/>
    <w:tmpl w:val="72B6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951660">
    <w:abstractNumId w:val="1"/>
  </w:num>
  <w:num w:numId="2" w16cid:durableId="132088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8E"/>
    <w:rsid w:val="00050956"/>
    <w:rsid w:val="000521ED"/>
    <w:rsid w:val="00066E4C"/>
    <w:rsid w:val="000912A7"/>
    <w:rsid w:val="000D49AD"/>
    <w:rsid w:val="000F3850"/>
    <w:rsid w:val="00100BCB"/>
    <w:rsid w:val="00103848"/>
    <w:rsid w:val="00122051"/>
    <w:rsid w:val="001313C9"/>
    <w:rsid w:val="00131FA7"/>
    <w:rsid w:val="00135244"/>
    <w:rsid w:val="001547CA"/>
    <w:rsid w:val="00156619"/>
    <w:rsid w:val="00175AF6"/>
    <w:rsid w:val="0019519B"/>
    <w:rsid w:val="001C6157"/>
    <w:rsid w:val="002534F6"/>
    <w:rsid w:val="00255482"/>
    <w:rsid w:val="002801D8"/>
    <w:rsid w:val="0028448B"/>
    <w:rsid w:val="002A4689"/>
    <w:rsid w:val="002F443E"/>
    <w:rsid w:val="00306BD2"/>
    <w:rsid w:val="00323128"/>
    <w:rsid w:val="00377588"/>
    <w:rsid w:val="003B7A6B"/>
    <w:rsid w:val="003C7656"/>
    <w:rsid w:val="003F511C"/>
    <w:rsid w:val="004117BB"/>
    <w:rsid w:val="00427EFC"/>
    <w:rsid w:val="00444845"/>
    <w:rsid w:val="0045487A"/>
    <w:rsid w:val="00466D7C"/>
    <w:rsid w:val="004969BF"/>
    <w:rsid w:val="004A29F7"/>
    <w:rsid w:val="004D3709"/>
    <w:rsid w:val="004D51AE"/>
    <w:rsid w:val="004F5A33"/>
    <w:rsid w:val="00540B89"/>
    <w:rsid w:val="00567851"/>
    <w:rsid w:val="00586DE7"/>
    <w:rsid w:val="005A4F29"/>
    <w:rsid w:val="005B3033"/>
    <w:rsid w:val="005D36C9"/>
    <w:rsid w:val="005D38A6"/>
    <w:rsid w:val="005E45BD"/>
    <w:rsid w:val="006568E6"/>
    <w:rsid w:val="006629F9"/>
    <w:rsid w:val="00664A69"/>
    <w:rsid w:val="006838FC"/>
    <w:rsid w:val="006928EA"/>
    <w:rsid w:val="006D1EEF"/>
    <w:rsid w:val="006F0957"/>
    <w:rsid w:val="006F4FFF"/>
    <w:rsid w:val="00716E73"/>
    <w:rsid w:val="007C4BFA"/>
    <w:rsid w:val="007F0455"/>
    <w:rsid w:val="0080222C"/>
    <w:rsid w:val="00804575"/>
    <w:rsid w:val="00807367"/>
    <w:rsid w:val="0081310B"/>
    <w:rsid w:val="00815698"/>
    <w:rsid w:val="0082067B"/>
    <w:rsid w:val="00822147"/>
    <w:rsid w:val="008332A2"/>
    <w:rsid w:val="00843A2B"/>
    <w:rsid w:val="00851044"/>
    <w:rsid w:val="00860C78"/>
    <w:rsid w:val="008869B4"/>
    <w:rsid w:val="008B554C"/>
    <w:rsid w:val="009057E1"/>
    <w:rsid w:val="00914CE0"/>
    <w:rsid w:val="009169F5"/>
    <w:rsid w:val="009300E7"/>
    <w:rsid w:val="009427F6"/>
    <w:rsid w:val="00944A1B"/>
    <w:rsid w:val="0094562C"/>
    <w:rsid w:val="0095457B"/>
    <w:rsid w:val="00977EDB"/>
    <w:rsid w:val="009940EC"/>
    <w:rsid w:val="009B4D95"/>
    <w:rsid w:val="009C1A43"/>
    <w:rsid w:val="009C6D7D"/>
    <w:rsid w:val="009E6963"/>
    <w:rsid w:val="009F3C0A"/>
    <w:rsid w:val="00A07AC3"/>
    <w:rsid w:val="00A12E12"/>
    <w:rsid w:val="00A146D3"/>
    <w:rsid w:val="00A45575"/>
    <w:rsid w:val="00A71235"/>
    <w:rsid w:val="00A84B45"/>
    <w:rsid w:val="00A93792"/>
    <w:rsid w:val="00AA0290"/>
    <w:rsid w:val="00AC3282"/>
    <w:rsid w:val="00AC6F31"/>
    <w:rsid w:val="00AD5626"/>
    <w:rsid w:val="00AF4F4D"/>
    <w:rsid w:val="00B05B64"/>
    <w:rsid w:val="00B0642A"/>
    <w:rsid w:val="00B112B7"/>
    <w:rsid w:val="00B16E3D"/>
    <w:rsid w:val="00B37ECC"/>
    <w:rsid w:val="00B52F8E"/>
    <w:rsid w:val="00B531E2"/>
    <w:rsid w:val="00B608FF"/>
    <w:rsid w:val="00BA57DD"/>
    <w:rsid w:val="00BC60DE"/>
    <w:rsid w:val="00BD446E"/>
    <w:rsid w:val="00C10903"/>
    <w:rsid w:val="00C1303A"/>
    <w:rsid w:val="00C13F78"/>
    <w:rsid w:val="00C14725"/>
    <w:rsid w:val="00C57B29"/>
    <w:rsid w:val="00C76A1F"/>
    <w:rsid w:val="00C93C0B"/>
    <w:rsid w:val="00CA5D89"/>
    <w:rsid w:val="00CC16F3"/>
    <w:rsid w:val="00CC3600"/>
    <w:rsid w:val="00CD0ABD"/>
    <w:rsid w:val="00CD478E"/>
    <w:rsid w:val="00CD6791"/>
    <w:rsid w:val="00CE2F19"/>
    <w:rsid w:val="00D34F24"/>
    <w:rsid w:val="00D34F81"/>
    <w:rsid w:val="00D44DDC"/>
    <w:rsid w:val="00D513DD"/>
    <w:rsid w:val="00D51CB9"/>
    <w:rsid w:val="00D54648"/>
    <w:rsid w:val="00D80EBE"/>
    <w:rsid w:val="00D92505"/>
    <w:rsid w:val="00D937F5"/>
    <w:rsid w:val="00DB1946"/>
    <w:rsid w:val="00DE7C7B"/>
    <w:rsid w:val="00E43941"/>
    <w:rsid w:val="00EA1864"/>
    <w:rsid w:val="00EB05F2"/>
    <w:rsid w:val="00EB446B"/>
    <w:rsid w:val="00EB7B7D"/>
    <w:rsid w:val="00EC1193"/>
    <w:rsid w:val="00EC2B90"/>
    <w:rsid w:val="00EC2C6A"/>
    <w:rsid w:val="00ED63B0"/>
    <w:rsid w:val="00EF6F52"/>
    <w:rsid w:val="00F07532"/>
    <w:rsid w:val="00F130C6"/>
    <w:rsid w:val="00F4446E"/>
    <w:rsid w:val="00F67C0E"/>
    <w:rsid w:val="00F963CC"/>
    <w:rsid w:val="00FA1A3F"/>
    <w:rsid w:val="00FA770B"/>
    <w:rsid w:val="00FB7277"/>
    <w:rsid w:val="00FE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90"/>
  <w15:chartTrackingRefBased/>
  <w15:docId w15:val="{B292A306-25E7-4F7F-928C-F794DD95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78E"/>
    <w:rPr>
      <w:rFonts w:eastAsiaTheme="majorEastAsia" w:cstheme="majorBidi"/>
      <w:color w:val="272727" w:themeColor="text1" w:themeTint="D8"/>
    </w:rPr>
  </w:style>
  <w:style w:type="paragraph" w:styleId="Title">
    <w:name w:val="Title"/>
    <w:basedOn w:val="Normal"/>
    <w:next w:val="Normal"/>
    <w:link w:val="TitleChar"/>
    <w:uiPriority w:val="10"/>
    <w:qFormat/>
    <w:rsid w:val="00CD4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78E"/>
    <w:pPr>
      <w:spacing w:before="160"/>
      <w:jc w:val="center"/>
    </w:pPr>
    <w:rPr>
      <w:i/>
      <w:iCs/>
      <w:color w:val="404040" w:themeColor="text1" w:themeTint="BF"/>
    </w:rPr>
  </w:style>
  <w:style w:type="character" w:customStyle="1" w:styleId="QuoteChar">
    <w:name w:val="Quote Char"/>
    <w:basedOn w:val="DefaultParagraphFont"/>
    <w:link w:val="Quote"/>
    <w:uiPriority w:val="29"/>
    <w:rsid w:val="00CD478E"/>
    <w:rPr>
      <w:i/>
      <w:iCs/>
      <w:color w:val="404040" w:themeColor="text1" w:themeTint="BF"/>
    </w:rPr>
  </w:style>
  <w:style w:type="paragraph" w:styleId="ListParagraph">
    <w:name w:val="List Paragraph"/>
    <w:basedOn w:val="Normal"/>
    <w:uiPriority w:val="34"/>
    <w:qFormat/>
    <w:rsid w:val="00CD478E"/>
    <w:pPr>
      <w:ind w:left="720"/>
      <w:contextualSpacing/>
    </w:pPr>
  </w:style>
  <w:style w:type="character" w:styleId="IntenseEmphasis">
    <w:name w:val="Intense Emphasis"/>
    <w:basedOn w:val="DefaultParagraphFont"/>
    <w:uiPriority w:val="21"/>
    <w:qFormat/>
    <w:rsid w:val="00CD478E"/>
    <w:rPr>
      <w:i/>
      <w:iCs/>
      <w:color w:val="0F4761" w:themeColor="accent1" w:themeShade="BF"/>
    </w:rPr>
  </w:style>
  <w:style w:type="paragraph" w:styleId="IntenseQuote">
    <w:name w:val="Intense Quote"/>
    <w:basedOn w:val="Normal"/>
    <w:next w:val="Normal"/>
    <w:link w:val="IntenseQuoteChar"/>
    <w:uiPriority w:val="30"/>
    <w:qFormat/>
    <w:rsid w:val="00CD4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78E"/>
    <w:rPr>
      <w:i/>
      <w:iCs/>
      <w:color w:val="0F4761" w:themeColor="accent1" w:themeShade="BF"/>
    </w:rPr>
  </w:style>
  <w:style w:type="character" w:styleId="IntenseReference">
    <w:name w:val="Intense Reference"/>
    <w:basedOn w:val="DefaultParagraphFont"/>
    <w:uiPriority w:val="32"/>
    <w:qFormat/>
    <w:rsid w:val="00CD478E"/>
    <w:rPr>
      <w:b/>
      <w:bCs/>
      <w:smallCaps/>
      <w:color w:val="0F4761" w:themeColor="accent1" w:themeShade="BF"/>
      <w:spacing w:val="5"/>
    </w:rPr>
  </w:style>
  <w:style w:type="character" w:styleId="Hyperlink">
    <w:name w:val="Hyperlink"/>
    <w:basedOn w:val="DefaultParagraphFont"/>
    <w:uiPriority w:val="99"/>
    <w:unhideWhenUsed/>
    <w:rsid w:val="00CD478E"/>
    <w:rPr>
      <w:color w:val="467886" w:themeColor="hyperlink"/>
      <w:u w:val="single"/>
    </w:rPr>
  </w:style>
  <w:style w:type="character" w:styleId="UnresolvedMention">
    <w:name w:val="Unresolved Mention"/>
    <w:basedOn w:val="DefaultParagraphFont"/>
    <w:uiPriority w:val="99"/>
    <w:semiHidden/>
    <w:unhideWhenUsed/>
    <w:rsid w:val="00CD478E"/>
    <w:rPr>
      <w:color w:val="605E5C"/>
      <w:shd w:val="clear" w:color="auto" w:fill="E1DFDD"/>
    </w:rPr>
  </w:style>
  <w:style w:type="paragraph" w:styleId="Header">
    <w:name w:val="header"/>
    <w:basedOn w:val="Normal"/>
    <w:link w:val="HeaderChar"/>
    <w:uiPriority w:val="99"/>
    <w:unhideWhenUsed/>
    <w:rsid w:val="009F3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C0A"/>
  </w:style>
  <w:style w:type="paragraph" w:styleId="Footer">
    <w:name w:val="footer"/>
    <w:basedOn w:val="Normal"/>
    <w:link w:val="FooterChar"/>
    <w:uiPriority w:val="99"/>
    <w:unhideWhenUsed/>
    <w:rsid w:val="009F3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Laube</dc:creator>
  <cp:keywords/>
  <dc:description/>
  <cp:lastModifiedBy>Steve Laube</cp:lastModifiedBy>
  <cp:revision>6</cp:revision>
  <cp:lastPrinted>2025-08-17T00:47:00Z</cp:lastPrinted>
  <dcterms:created xsi:type="dcterms:W3CDTF">2025-08-11T01:59:00Z</dcterms:created>
  <dcterms:modified xsi:type="dcterms:W3CDTF">2025-08-17T00:52:00Z</dcterms:modified>
</cp:coreProperties>
</file>