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F5BB78" w14:textId="5AF81487" w:rsidR="00576719" w:rsidRPr="003C5405" w:rsidRDefault="00576719" w:rsidP="00576719">
      <w:pPr>
        <w:pStyle w:val="Heading2"/>
        <w:spacing w:before="0" w:line="278" w:lineRule="auto"/>
        <w:jc w:val="center"/>
        <w:rPr>
          <w:rFonts w:ascii="Dante MT" w:hAnsi="Dante MT" w:cs="Times New Roman"/>
          <w:color w:val="auto"/>
          <w:sz w:val="18"/>
          <w:szCs w:val="18"/>
        </w:rPr>
      </w:pPr>
      <w:r w:rsidRPr="003C5405">
        <w:rPr>
          <w:rFonts w:ascii="Dante MT" w:hAnsi="Dante MT" w:cs="Times New Roman"/>
          <w:color w:val="auto"/>
        </w:rPr>
        <w:t>Election</w:t>
      </w:r>
      <w:r w:rsidR="00CB5175" w:rsidRPr="003C5405">
        <w:rPr>
          <w:rFonts w:ascii="Dante MT" w:hAnsi="Dante MT" w:cs="Times New Roman"/>
          <w:color w:val="auto"/>
        </w:rPr>
        <w:br/>
      </w:r>
      <w:r w:rsidR="00CB5175" w:rsidRPr="003C5405">
        <w:rPr>
          <w:rFonts w:ascii="Dante MT" w:hAnsi="Dante MT" w:cs="Times New Roman"/>
          <w:color w:val="auto"/>
          <w:sz w:val="18"/>
          <w:szCs w:val="18"/>
        </w:rPr>
        <w:t>by Steve Laube</w:t>
      </w:r>
    </w:p>
    <w:p w14:paraId="1325D55F" w14:textId="77777777" w:rsidR="00576719" w:rsidRPr="003C5405" w:rsidRDefault="00576719" w:rsidP="00576719">
      <w:pPr>
        <w:rPr>
          <w:rFonts w:ascii="Dante MT" w:hAnsi="Dante MT"/>
        </w:rPr>
      </w:pPr>
    </w:p>
    <w:p w14:paraId="2D774AC5" w14:textId="77777777" w:rsidR="00576719" w:rsidRPr="00E21E85" w:rsidRDefault="00576719" w:rsidP="00576719">
      <w:pPr>
        <w:spacing w:after="0" w:line="240" w:lineRule="auto"/>
        <w:rPr>
          <w:rFonts w:ascii="Dante MT" w:hAnsi="Dante MT" w:cs="Times New Roman"/>
          <w:sz w:val="24"/>
          <w:szCs w:val="24"/>
        </w:rPr>
      </w:pPr>
      <w:r w:rsidRPr="00E21E85">
        <w:rPr>
          <w:rFonts w:ascii="Dante MT" w:hAnsi="Dante MT" w:cs="Times New Roman"/>
          <w:sz w:val="24"/>
          <w:szCs w:val="24"/>
        </w:rPr>
        <w:t>Election begins with God, not man. Scripture declares that believers were chosen in Christ before the foundation of the world (Ephesians 1:4) and therefore should be holy and blameless before him. God chose us “according to the counsel of his will” (Ephesians 1:11). Salvation originates in the divine will of God, not in a foreknown faith or any foreknown obedience. Wayne Grudem explains further: “Election is an act of God before creation in which he chooses some people to be saved, not on account of any foreseen merit in them, but only because of his sovereign good pleasure.”</w:t>
      </w:r>
      <w:r w:rsidRPr="00E21E85">
        <w:rPr>
          <w:rStyle w:val="FootnoteReference"/>
          <w:rFonts w:ascii="Dante MT" w:hAnsi="Dante MT" w:cs="Times New Roman"/>
          <w:sz w:val="24"/>
          <w:szCs w:val="24"/>
        </w:rPr>
        <w:footnoteReference w:id="1"/>
      </w:r>
    </w:p>
    <w:p w14:paraId="547C3651" w14:textId="77777777" w:rsidR="00576719" w:rsidRPr="00E21E85" w:rsidRDefault="00576719" w:rsidP="00576719">
      <w:pPr>
        <w:spacing w:after="0" w:line="240" w:lineRule="auto"/>
        <w:ind w:firstLine="432"/>
        <w:rPr>
          <w:rFonts w:ascii="Dante MT" w:hAnsi="Dante MT" w:cs="Times New Roman"/>
          <w:sz w:val="24"/>
          <w:szCs w:val="24"/>
        </w:rPr>
      </w:pPr>
      <w:r w:rsidRPr="00E21E85">
        <w:rPr>
          <w:rFonts w:ascii="Dante MT" w:hAnsi="Dante MT" w:cs="Times New Roman"/>
          <w:sz w:val="24"/>
          <w:szCs w:val="24"/>
        </w:rPr>
        <w:t>This doctrine has stirred controversy for those trying to square divine sovereignty and human responsibility. From whence does salvation originate? Yet its biblical foundation is unmistakable. Scripture commands all people everywhere to repent and believe. The gospel call is universal in its proclamation and powerful in application. The mystery of divine sovereignty and human responsibility is not a contradiction. God ordains not only the result of salvation but also its means.</w:t>
      </w:r>
    </w:p>
    <w:p w14:paraId="035CF7F3" w14:textId="77777777" w:rsidR="00CB5175" w:rsidRDefault="00576719" w:rsidP="00576719">
      <w:pPr>
        <w:spacing w:after="0" w:line="240" w:lineRule="auto"/>
        <w:ind w:firstLine="432"/>
        <w:rPr>
          <w:rFonts w:ascii="Dante MT" w:hAnsi="Dante MT" w:cs="Times New Roman"/>
          <w:sz w:val="24"/>
          <w:szCs w:val="24"/>
        </w:rPr>
      </w:pPr>
      <w:r w:rsidRPr="00E21E85">
        <w:rPr>
          <w:rFonts w:ascii="Dante MT" w:hAnsi="Dante MT" w:cs="Times New Roman"/>
          <w:sz w:val="24"/>
          <w:szCs w:val="24"/>
        </w:rPr>
        <w:t xml:space="preserve">Note how carefully the Bible holds these truths together, like two sides of the same coin. </w:t>
      </w:r>
    </w:p>
    <w:p w14:paraId="3C3C9798" w14:textId="437F3D3C" w:rsidR="00576719" w:rsidRPr="00E21E85" w:rsidRDefault="00576719" w:rsidP="00576719">
      <w:pPr>
        <w:spacing w:after="0" w:line="240" w:lineRule="auto"/>
        <w:ind w:firstLine="432"/>
        <w:rPr>
          <w:rFonts w:ascii="Dante MT" w:hAnsi="Dante MT" w:cs="Times New Roman"/>
          <w:sz w:val="24"/>
          <w:szCs w:val="24"/>
        </w:rPr>
      </w:pPr>
      <w:r w:rsidRPr="00E21E85">
        <w:rPr>
          <w:rFonts w:ascii="Dante MT" w:hAnsi="Dante MT" w:cs="Times New Roman"/>
          <w:sz w:val="24"/>
          <w:szCs w:val="24"/>
        </w:rPr>
        <w:t>On the one hand, according to God’s sovereign pleasure, he has chosen some for everlasting life. Salvation rests upon God’s eternal purpose, and there it stands secure.</w:t>
      </w:r>
    </w:p>
    <w:p w14:paraId="1772072D" w14:textId="1879B0C5" w:rsidR="00EA57F8" w:rsidRDefault="005B513A">
      <w:pPr>
        <w:spacing w:after="0"/>
        <w:ind w:firstLine="432"/>
      </w:pPr>
      <w:r>
        <w:rPr>
          <w:rFonts w:ascii="Dante MT" w:hAnsi="Dante MT"/>
          <w:sz w:val="24"/>
          <w:szCs w:val="24"/>
        </w:rPr>
        <w:t>On the other hand,</w:t>
      </w:r>
      <w:r w:rsidRPr="005B513A">
        <w:rPr>
          <w:rFonts w:ascii="Dante MT" w:hAnsi="Dante MT"/>
          <w:sz w:val="24"/>
          <w:szCs w:val="24"/>
        </w:rPr>
        <w:t xml:space="preserve"> salvation also involves personal confession. Romans 10:9 says</w:t>
      </w:r>
      <w:r w:rsidR="00000000" w:rsidRPr="005B513A">
        <w:rPr>
          <w:rFonts w:ascii="Dante MT" w:hAnsi="Dante MT"/>
          <w:sz w:val="24"/>
          <w:szCs w:val="24"/>
        </w:rPr>
        <w:t xml:space="preserve">, </w:t>
      </w:r>
      <w:r w:rsidR="00000000" w:rsidRPr="005B513A">
        <w:rPr>
          <w:rFonts w:ascii="Dante MT" w:hAnsi="Dante MT"/>
          <w:sz w:val="24"/>
          <w:szCs w:val="24"/>
        </w:rPr>
        <w:t>“</w:t>
      </w:r>
      <w:r w:rsidR="00000000" w:rsidRPr="005B513A">
        <w:rPr>
          <w:rFonts w:ascii="Dante MT" w:hAnsi="Dante MT"/>
          <w:sz w:val="24"/>
          <w:szCs w:val="24"/>
        </w:rPr>
        <w:t>I</w:t>
      </w:r>
      <w:r w:rsidR="00000000" w:rsidRPr="005B513A">
        <w:rPr>
          <w:rFonts w:ascii="Dante MT" w:hAnsi="Dante MT"/>
          <w:sz w:val="24"/>
          <w:szCs w:val="24"/>
        </w:rPr>
        <w:t>f</w:t>
      </w:r>
      <w:r w:rsidR="00000000" w:rsidRPr="005B513A">
        <w:rPr>
          <w:rFonts w:ascii="Dante MT" w:hAnsi="Dante MT"/>
          <w:sz w:val="24"/>
          <w:szCs w:val="24"/>
        </w:rPr>
        <w:t xml:space="preserve"> </w:t>
      </w:r>
      <w:r w:rsidR="00000000" w:rsidRPr="005B513A">
        <w:rPr>
          <w:rFonts w:ascii="Dante MT" w:hAnsi="Dante MT"/>
          <w:sz w:val="24"/>
          <w:szCs w:val="24"/>
        </w:rPr>
        <w:t>you confess with your mouth that Jesus is Lord and</w:t>
      </w:r>
      <w:r w:rsidR="00000000" w:rsidRPr="005B513A">
        <w:rPr>
          <w:rFonts w:ascii="Dante MT" w:hAnsi="Dante MT"/>
          <w:sz w:val="24"/>
          <w:szCs w:val="24"/>
        </w:rPr>
        <w:t xml:space="preserve"> </w:t>
      </w:r>
      <w:r w:rsidR="00000000" w:rsidRPr="005B513A">
        <w:rPr>
          <w:rFonts w:ascii="Dante MT" w:hAnsi="Dante MT"/>
          <w:sz w:val="24"/>
          <w:szCs w:val="24"/>
        </w:rPr>
        <w:t>believe in your heart</w:t>
      </w:r>
      <w:r w:rsidR="00000000" w:rsidRPr="005B513A">
        <w:rPr>
          <w:rFonts w:ascii="Dante MT" w:hAnsi="Dante MT"/>
          <w:sz w:val="24"/>
          <w:szCs w:val="24"/>
        </w:rPr>
        <w:t xml:space="preserve"> </w:t>
      </w:r>
      <w:r w:rsidR="00000000" w:rsidRPr="005B513A">
        <w:rPr>
          <w:rFonts w:ascii="Dante MT" w:hAnsi="Dante MT"/>
          <w:sz w:val="24"/>
          <w:szCs w:val="24"/>
        </w:rPr>
        <w:t>that God raised him from the dead, you will be saved.</w:t>
      </w:r>
      <w:r w:rsidR="00000000" w:rsidRPr="005B513A">
        <w:rPr>
          <w:rFonts w:ascii="Dante MT" w:hAnsi="Dante MT"/>
          <w:sz w:val="24"/>
          <w:szCs w:val="24"/>
        </w:rPr>
        <w:t>”</w:t>
      </w:r>
      <w:r w:rsidR="00000000" w:rsidRPr="005B513A">
        <w:rPr>
          <w:rFonts w:ascii="Dante MT" w:hAnsi="Dante MT"/>
          <w:sz w:val="24"/>
          <w:szCs w:val="24"/>
        </w:rPr>
        <w:t xml:space="preserve"> </w:t>
      </w:r>
      <w:r w:rsidRPr="005B513A">
        <w:rPr>
          <w:rFonts w:ascii="Dante MT" w:hAnsi="Dante MT"/>
          <w:sz w:val="24"/>
          <w:szCs w:val="24"/>
        </w:rPr>
        <w:t>Still, Scripture consistently teaches</w:t>
      </w:r>
      <w:r w:rsidR="00000000" w:rsidRPr="005B513A">
        <w:rPr>
          <w:rFonts w:ascii="Dante MT" w:hAnsi="Dante MT"/>
          <w:sz w:val="24"/>
          <w:szCs w:val="24"/>
        </w:rPr>
        <w:t xml:space="preserve"> that</w:t>
      </w:r>
      <w:r w:rsidR="00000000" w:rsidRPr="005B513A">
        <w:rPr>
          <w:rFonts w:ascii="Dante MT" w:hAnsi="Dante MT"/>
          <w:sz w:val="24"/>
          <w:szCs w:val="24"/>
        </w:rPr>
        <w:t xml:space="preserve"> this </w:t>
      </w:r>
      <w:r w:rsidRPr="005B513A">
        <w:rPr>
          <w:rFonts w:ascii="Dante MT" w:hAnsi="Dante MT"/>
          <w:sz w:val="24"/>
          <w:szCs w:val="24"/>
        </w:rPr>
        <w:t>response rests</w:t>
      </w:r>
      <w:r w:rsidR="00000000" w:rsidRPr="005B513A">
        <w:rPr>
          <w:rFonts w:ascii="Dante MT" w:hAnsi="Dante MT"/>
          <w:sz w:val="24"/>
          <w:szCs w:val="24"/>
        </w:rPr>
        <w:t xml:space="preserve"> not </w:t>
      </w:r>
      <w:r w:rsidRPr="005B513A">
        <w:rPr>
          <w:rFonts w:ascii="Dante MT" w:hAnsi="Dante MT"/>
          <w:sz w:val="24"/>
          <w:szCs w:val="24"/>
        </w:rPr>
        <w:t>on</w:t>
      </w:r>
      <w:r w:rsidR="00000000" w:rsidRPr="005B513A">
        <w:rPr>
          <w:rFonts w:ascii="Dante MT" w:hAnsi="Dante MT"/>
          <w:sz w:val="24"/>
          <w:szCs w:val="24"/>
        </w:rPr>
        <w:t xml:space="preserve"> human merit but </w:t>
      </w:r>
      <w:r w:rsidRPr="005B513A">
        <w:rPr>
          <w:rFonts w:ascii="Dante MT" w:hAnsi="Dante MT"/>
          <w:sz w:val="24"/>
          <w:szCs w:val="24"/>
        </w:rPr>
        <w:t>on</w:t>
      </w:r>
      <w:r w:rsidR="00000000" w:rsidRPr="005B513A">
        <w:rPr>
          <w:rFonts w:ascii="Dante MT" w:hAnsi="Dante MT"/>
          <w:sz w:val="24"/>
          <w:szCs w:val="24"/>
        </w:rPr>
        <w:t xml:space="preserve"> divine mercy.</w:t>
      </w:r>
    </w:p>
    <w:p w14:paraId="7B9077B5" w14:textId="78284494" w:rsidR="00576719" w:rsidRPr="00E21E85" w:rsidRDefault="00576719" w:rsidP="00576719">
      <w:pPr>
        <w:spacing w:after="0" w:line="240" w:lineRule="auto"/>
        <w:ind w:firstLine="432"/>
        <w:rPr>
          <w:rFonts w:ascii="Dante MT" w:hAnsi="Dante MT" w:cs="Times New Roman"/>
          <w:sz w:val="24"/>
          <w:szCs w:val="24"/>
        </w:rPr>
      </w:pPr>
      <w:r w:rsidRPr="00E21E85">
        <w:rPr>
          <w:rFonts w:ascii="Dante MT" w:hAnsi="Dante MT" w:cs="Times New Roman"/>
          <w:sz w:val="24"/>
          <w:szCs w:val="24"/>
        </w:rPr>
        <w:t>Augustine observed, “God does not choose us because we believe, but that we may believe, lest we should say that we first chose him.”</w:t>
      </w:r>
      <w:r w:rsidRPr="00E21E85">
        <w:rPr>
          <w:rStyle w:val="FootnoteReference"/>
          <w:rFonts w:ascii="Dante MT" w:hAnsi="Dante MT" w:cs="Times New Roman"/>
          <w:sz w:val="24"/>
          <w:szCs w:val="24"/>
        </w:rPr>
        <w:footnoteReference w:id="2"/>
      </w:r>
      <w:r w:rsidRPr="00E21E85">
        <w:rPr>
          <w:rFonts w:ascii="Dante MT" w:hAnsi="Dante MT" w:cs="Times New Roman"/>
          <w:sz w:val="24"/>
          <w:szCs w:val="24"/>
        </w:rPr>
        <w:t xml:space="preserve"> If salvation ultimately depends upon human will, it remains fragile. “Those whom he predestined he also called, and those whom he called he also justified, and those whom he justified he also glorified” (Romans 8:30). The chain is unbroken. What began in eternity ends in eternity.</w:t>
      </w:r>
    </w:p>
    <w:p w14:paraId="704D649F" w14:textId="77777777" w:rsidR="00576719" w:rsidRPr="00E21E85" w:rsidRDefault="00576719" w:rsidP="00576719">
      <w:pPr>
        <w:spacing w:after="0" w:line="240" w:lineRule="auto"/>
        <w:ind w:firstLine="432"/>
        <w:rPr>
          <w:rFonts w:ascii="Dante MT" w:hAnsi="Dante MT" w:cs="Times New Roman"/>
          <w:sz w:val="24"/>
          <w:szCs w:val="24"/>
        </w:rPr>
      </w:pPr>
      <w:r w:rsidRPr="00E21E85">
        <w:rPr>
          <w:rFonts w:ascii="Dante MT" w:hAnsi="Dante MT" w:cs="Times New Roman"/>
          <w:sz w:val="24"/>
          <w:szCs w:val="24"/>
        </w:rPr>
        <w:t xml:space="preserve">To understand election is to understand that salvation is entirely of grace. From the beginning to final glory, it belongs to God alone. The believer rests not in his own faithfulness but in God’s eternal purpose. It is by grace we are saved through faith (Ephesians 2:8). As Thomas Watson writes, “We are not elected </w:t>
      </w:r>
      <w:r w:rsidRPr="00E21E85">
        <w:rPr>
          <w:rFonts w:ascii="Dante MT" w:hAnsi="Dante MT" w:cs="Times New Roman"/>
          <w:i/>
          <w:iCs/>
          <w:sz w:val="24"/>
          <w:szCs w:val="24"/>
        </w:rPr>
        <w:t>for</w:t>
      </w:r>
      <w:r w:rsidRPr="00E21E85">
        <w:rPr>
          <w:rFonts w:ascii="Dante MT" w:hAnsi="Dante MT" w:cs="Times New Roman"/>
          <w:sz w:val="24"/>
          <w:szCs w:val="24"/>
        </w:rPr>
        <w:t xml:space="preserve"> holiness, but </w:t>
      </w:r>
      <w:r w:rsidRPr="00E21E85">
        <w:rPr>
          <w:rFonts w:ascii="Dante MT" w:hAnsi="Dante MT" w:cs="Times New Roman"/>
          <w:i/>
          <w:iCs/>
          <w:sz w:val="24"/>
          <w:szCs w:val="24"/>
        </w:rPr>
        <w:t>to</w:t>
      </w:r>
      <w:r w:rsidRPr="00E21E85">
        <w:rPr>
          <w:rFonts w:ascii="Dante MT" w:hAnsi="Dante MT" w:cs="Times New Roman"/>
          <w:sz w:val="24"/>
          <w:szCs w:val="24"/>
        </w:rPr>
        <w:t xml:space="preserve"> holiness.”</w:t>
      </w:r>
      <w:r w:rsidRPr="00E21E85">
        <w:rPr>
          <w:rStyle w:val="FootnoteReference"/>
          <w:rFonts w:ascii="Dante MT" w:hAnsi="Dante MT" w:cs="Times New Roman"/>
          <w:sz w:val="24"/>
          <w:szCs w:val="24"/>
        </w:rPr>
        <w:footnoteReference w:id="3"/>
      </w:r>
    </w:p>
    <w:p w14:paraId="3FE4B90A" w14:textId="01B1065B" w:rsidR="00EA57F8" w:rsidRDefault="00000000">
      <w:pPr>
        <w:spacing w:after="0"/>
        <w:ind w:firstLine="432"/>
      </w:pPr>
      <w:r w:rsidRPr="00944548">
        <w:rPr>
          <w:rFonts w:ascii="Dante MT" w:hAnsi="Dante MT"/>
          <w:sz w:val="24"/>
          <w:szCs w:val="24"/>
        </w:rPr>
        <w:t xml:space="preserve">This doctrine </w:t>
      </w:r>
      <w:r w:rsidR="00944548" w:rsidRPr="00944548">
        <w:rPr>
          <w:rFonts w:ascii="Dante MT" w:hAnsi="Dante MT"/>
          <w:sz w:val="24"/>
          <w:szCs w:val="24"/>
        </w:rPr>
        <w:t xml:space="preserve">calls for </w:t>
      </w:r>
      <w:r w:rsidR="00944548">
        <w:rPr>
          <w:rFonts w:ascii="Dante MT" w:hAnsi="Dante MT"/>
          <w:sz w:val="24"/>
          <w:szCs w:val="24"/>
        </w:rPr>
        <w:t>devotion</w:t>
      </w:r>
      <w:r w:rsidRPr="00944548">
        <w:rPr>
          <w:rFonts w:ascii="Dante MT" w:hAnsi="Dante MT"/>
          <w:sz w:val="24"/>
          <w:szCs w:val="24"/>
        </w:rPr>
        <w:t xml:space="preserve"> and reverence. Scripture does not </w:t>
      </w:r>
      <w:r w:rsidR="00944548" w:rsidRPr="00944548">
        <w:rPr>
          <w:rFonts w:ascii="Dante MT" w:hAnsi="Dante MT"/>
          <w:sz w:val="24"/>
          <w:szCs w:val="24"/>
        </w:rPr>
        <w:t>explain</w:t>
      </w:r>
      <w:r w:rsidRPr="00944548">
        <w:rPr>
          <w:rFonts w:ascii="Dante MT" w:hAnsi="Dante MT"/>
          <w:sz w:val="24"/>
          <w:szCs w:val="24"/>
        </w:rPr>
        <w:t xml:space="preserve"> the </w:t>
      </w:r>
      <w:r w:rsidR="00F301C3">
        <w:rPr>
          <w:rFonts w:ascii="Dante MT" w:hAnsi="Dante MT"/>
          <w:sz w:val="24"/>
          <w:szCs w:val="24"/>
        </w:rPr>
        <w:t>mechanics</w:t>
      </w:r>
      <w:r w:rsidRPr="00944548">
        <w:rPr>
          <w:rFonts w:ascii="Dante MT" w:hAnsi="Dante MT"/>
          <w:sz w:val="24"/>
          <w:szCs w:val="24"/>
        </w:rPr>
        <w:t xml:space="preserve"> of </w:t>
      </w:r>
      <w:r w:rsidR="00944548" w:rsidRPr="00944548">
        <w:rPr>
          <w:rFonts w:ascii="Dante MT" w:hAnsi="Dante MT"/>
          <w:sz w:val="24"/>
          <w:szCs w:val="24"/>
        </w:rPr>
        <w:t>God’s</w:t>
      </w:r>
      <w:r w:rsidRPr="00944548">
        <w:rPr>
          <w:rFonts w:ascii="Dante MT" w:hAnsi="Dante MT"/>
          <w:sz w:val="24"/>
          <w:szCs w:val="24"/>
        </w:rPr>
        <w:t xml:space="preserve"> decree</w:t>
      </w:r>
      <w:r w:rsidR="00944548">
        <w:rPr>
          <w:rFonts w:ascii="Dante MT" w:hAnsi="Dante MT"/>
          <w:sz w:val="24"/>
          <w:szCs w:val="24"/>
        </w:rPr>
        <w:t>.</w:t>
      </w:r>
      <w:r w:rsidRPr="00944548">
        <w:rPr>
          <w:rFonts w:ascii="Dante MT" w:hAnsi="Dante MT"/>
          <w:sz w:val="24"/>
          <w:szCs w:val="24"/>
        </w:rPr>
        <w:t xml:space="preserve"> “The secret things belong to the </w:t>
      </w:r>
      <w:r w:rsidRPr="00944548">
        <w:rPr>
          <w:rFonts w:ascii="Dante MT" w:hAnsi="Dante MT"/>
          <w:smallCaps/>
          <w:sz w:val="24"/>
          <w:szCs w:val="24"/>
        </w:rPr>
        <w:t>L</w:t>
      </w:r>
      <w:r w:rsidRPr="00944548">
        <w:rPr>
          <w:rFonts w:ascii="Dante MT" w:hAnsi="Dante MT"/>
          <w:smallCaps/>
          <w:sz w:val="24"/>
          <w:szCs w:val="24"/>
        </w:rPr>
        <w:t>ord</w:t>
      </w:r>
      <w:r w:rsidRPr="00944548">
        <w:rPr>
          <w:rFonts w:ascii="Dante MT" w:hAnsi="Dante MT"/>
          <w:sz w:val="24"/>
          <w:szCs w:val="24"/>
        </w:rPr>
        <w:t xml:space="preserve"> our God” (Deuteronomy 29:29). We are </w:t>
      </w:r>
      <w:r w:rsidR="00944548" w:rsidRPr="00944548">
        <w:rPr>
          <w:rFonts w:ascii="Dante MT" w:hAnsi="Dante MT"/>
          <w:sz w:val="24"/>
          <w:szCs w:val="24"/>
        </w:rPr>
        <w:t>called</w:t>
      </w:r>
      <w:r w:rsidRPr="00944548">
        <w:rPr>
          <w:rFonts w:ascii="Dante MT" w:hAnsi="Dante MT"/>
          <w:sz w:val="24"/>
          <w:szCs w:val="24"/>
        </w:rPr>
        <w:t xml:space="preserve"> to respond to the gospel, not to </w:t>
      </w:r>
      <w:r w:rsidR="00944548" w:rsidRPr="00944548">
        <w:rPr>
          <w:rFonts w:ascii="Dante MT" w:hAnsi="Dante MT"/>
          <w:sz w:val="24"/>
          <w:szCs w:val="24"/>
        </w:rPr>
        <w:t>peer</w:t>
      </w:r>
      <w:r w:rsidRPr="00944548">
        <w:rPr>
          <w:rFonts w:ascii="Dante MT" w:hAnsi="Dante MT"/>
          <w:sz w:val="24"/>
          <w:szCs w:val="24"/>
        </w:rPr>
        <w:t xml:space="preserve"> behind the curtain. “Great indeed is the mystery of godliness” (1 Timothy 3:16). </w:t>
      </w:r>
      <w:r w:rsidR="00944548" w:rsidRPr="00944548">
        <w:rPr>
          <w:rFonts w:ascii="Dante MT" w:hAnsi="Dante MT"/>
          <w:sz w:val="24"/>
          <w:szCs w:val="24"/>
        </w:rPr>
        <w:t>The full revelation</w:t>
      </w:r>
      <w:r w:rsidRPr="00944548">
        <w:rPr>
          <w:rFonts w:ascii="Dante MT" w:hAnsi="Dante MT"/>
          <w:sz w:val="24"/>
          <w:szCs w:val="24"/>
        </w:rPr>
        <w:t xml:space="preserve"> will come at the end of days</w:t>
      </w:r>
      <w:r w:rsidR="00944548" w:rsidRPr="00944548">
        <w:rPr>
          <w:rFonts w:ascii="Dante MT" w:hAnsi="Dante MT"/>
          <w:sz w:val="24"/>
          <w:szCs w:val="24"/>
        </w:rPr>
        <w:t>; until then,</w:t>
      </w:r>
      <w:r w:rsidRPr="00944548">
        <w:rPr>
          <w:rFonts w:ascii="Dante MT" w:hAnsi="Dante MT"/>
          <w:sz w:val="24"/>
          <w:szCs w:val="24"/>
        </w:rPr>
        <w:t xml:space="preserve"> the mystery of mysteries</w:t>
      </w:r>
      <w:r w:rsidR="00944548">
        <w:rPr>
          <w:rFonts w:ascii="Dante MT" w:hAnsi="Dante MT"/>
          <w:sz w:val="24"/>
          <w:szCs w:val="24"/>
        </w:rPr>
        <w:t xml:space="preserve">, </w:t>
      </w:r>
      <w:r w:rsidRPr="00944548">
        <w:rPr>
          <w:rFonts w:ascii="Dante MT" w:hAnsi="Dante MT"/>
          <w:sz w:val="24"/>
          <w:szCs w:val="24"/>
        </w:rPr>
        <w:t>God himself</w:t>
      </w:r>
      <w:r w:rsidR="00944548">
        <w:rPr>
          <w:rFonts w:ascii="Dante MT" w:hAnsi="Dante MT"/>
          <w:sz w:val="24"/>
          <w:szCs w:val="24"/>
        </w:rPr>
        <w:t xml:space="preserve">, </w:t>
      </w:r>
      <w:r w:rsidRPr="00944548">
        <w:rPr>
          <w:rFonts w:ascii="Dante MT" w:hAnsi="Dante MT"/>
          <w:sz w:val="24"/>
          <w:szCs w:val="24"/>
        </w:rPr>
        <w:t>governs history.</w:t>
      </w:r>
    </w:p>
    <w:p w14:paraId="55FE3435" w14:textId="77777777" w:rsidR="00576719" w:rsidRDefault="00576719" w:rsidP="00576719">
      <w:pPr>
        <w:spacing w:after="0" w:line="278" w:lineRule="auto"/>
        <w:ind w:firstLine="432"/>
        <w:rPr>
          <w:rFonts w:ascii="Dante MT" w:hAnsi="Dante MT" w:cs="Times New Roman"/>
          <w:sz w:val="24"/>
          <w:szCs w:val="24"/>
        </w:rPr>
      </w:pPr>
    </w:p>
    <w:p w14:paraId="1425B46A" w14:textId="77777777" w:rsidR="00576719" w:rsidRDefault="00576719" w:rsidP="00576719">
      <w:pPr>
        <w:spacing w:after="0"/>
        <w:rPr>
          <w:rFonts w:ascii="Dante MT" w:hAnsi="Dante MT" w:cs="Times New Roman"/>
          <w:b/>
          <w:bCs/>
          <w:sz w:val="24"/>
          <w:szCs w:val="24"/>
        </w:rPr>
      </w:pPr>
      <w:r w:rsidRPr="00E21E85">
        <w:rPr>
          <w:rFonts w:ascii="Dante MT" w:hAnsi="Dante MT" w:cs="Times New Roman"/>
          <w:b/>
          <w:bCs/>
          <w:sz w:val="24"/>
          <w:szCs w:val="24"/>
        </w:rPr>
        <w:t>Let the Scriptures Speak</w:t>
      </w:r>
    </w:p>
    <w:p w14:paraId="05871436" w14:textId="77777777" w:rsidR="00576719" w:rsidRDefault="00576719" w:rsidP="00576719">
      <w:pPr>
        <w:spacing w:after="0" w:line="278" w:lineRule="auto"/>
        <w:rPr>
          <w:rFonts w:ascii="Dante MT" w:hAnsi="Dante MT" w:cs="Times New Roman"/>
          <w:b/>
          <w:bCs/>
          <w:sz w:val="24"/>
          <w:szCs w:val="24"/>
        </w:rPr>
      </w:pPr>
    </w:p>
    <w:p w14:paraId="2A1F1CF5" w14:textId="77777777" w:rsidR="00576719" w:rsidRPr="00E21E85" w:rsidRDefault="00576719" w:rsidP="00576719">
      <w:pPr>
        <w:spacing w:after="0" w:line="278" w:lineRule="auto"/>
        <w:rPr>
          <w:rFonts w:ascii="Dante MT" w:hAnsi="Dante MT" w:cs="Times New Roman"/>
          <w:sz w:val="24"/>
          <w:szCs w:val="24"/>
        </w:rPr>
      </w:pPr>
      <w:r w:rsidRPr="00E21E85">
        <w:rPr>
          <w:rFonts w:ascii="Dante MT" w:hAnsi="Dante MT" w:cs="Times New Roman"/>
          <w:sz w:val="24"/>
          <w:szCs w:val="24"/>
        </w:rPr>
        <w:t xml:space="preserve">For many are called, but few are chosen. He chose us in him before the foundation of the world, that we should be holy and blameless before him. In love he predestined us for adoption to himself as sons through Jesus Christ, according to the purpose of his will. </w:t>
      </w:r>
    </w:p>
    <w:p w14:paraId="06A6A578" w14:textId="77777777" w:rsidR="00576719" w:rsidRPr="00E21E85" w:rsidRDefault="00576719" w:rsidP="00576719">
      <w:pPr>
        <w:spacing w:after="0" w:line="240" w:lineRule="auto"/>
        <w:ind w:firstLine="432"/>
        <w:rPr>
          <w:rFonts w:ascii="Dante MT" w:hAnsi="Dante MT" w:cs="Times New Roman"/>
          <w:sz w:val="24"/>
          <w:szCs w:val="24"/>
        </w:rPr>
      </w:pPr>
      <w:r w:rsidRPr="00E21E85">
        <w:rPr>
          <w:rFonts w:ascii="Dante MT" w:hAnsi="Dante MT" w:cs="Times New Roman"/>
          <w:sz w:val="24"/>
          <w:szCs w:val="24"/>
        </w:rPr>
        <w:lastRenderedPageBreak/>
        <w:t>For those whom he foreknew he also predestined to be conformed to the image of his Son, in order that he might be the firstborn among many brothers. And those whom he predestined he also called, and those whom he called he also justified, and those whom he justified he also glorified. In order that God's purpose of election might continue, not because of works but because of him who calls.</w:t>
      </w:r>
      <w:r w:rsidRPr="00E21E85">
        <w:rPr>
          <w:rFonts w:ascii="Dante MT" w:hAnsi="Dante MT" w:cs="Times New Roman"/>
          <w:b/>
          <w:bCs/>
          <w:sz w:val="24"/>
          <w:szCs w:val="24"/>
          <w:vertAlign w:val="superscript"/>
        </w:rPr>
        <w:t xml:space="preserve"> </w:t>
      </w:r>
      <w:proofErr w:type="gramStart"/>
      <w:r w:rsidRPr="00E21E85">
        <w:rPr>
          <w:rFonts w:ascii="Dante MT" w:hAnsi="Dante MT" w:cs="Times New Roman"/>
          <w:sz w:val="24"/>
          <w:szCs w:val="24"/>
        </w:rPr>
        <w:t>So</w:t>
      </w:r>
      <w:proofErr w:type="gramEnd"/>
      <w:r w:rsidRPr="00E21E85">
        <w:rPr>
          <w:rFonts w:ascii="Dante MT" w:hAnsi="Dante MT" w:cs="Times New Roman"/>
          <w:sz w:val="24"/>
          <w:szCs w:val="24"/>
        </w:rPr>
        <w:t xml:space="preserve"> then it depends not on human will or exertion, but on God, who has mercy. Who saved us and called us to a holy calling, not because of our works but because of his own purpose and grace, which he gave us in Christ Jesus before the ages began.</w:t>
      </w:r>
    </w:p>
    <w:p w14:paraId="4226A47E" w14:textId="77777777" w:rsidR="00576719" w:rsidRPr="00E21E85" w:rsidRDefault="00576719" w:rsidP="00576719">
      <w:pPr>
        <w:spacing w:after="0" w:line="240" w:lineRule="auto"/>
        <w:ind w:firstLine="432"/>
        <w:rPr>
          <w:rFonts w:ascii="Dante MT" w:hAnsi="Dante MT" w:cs="Times New Roman"/>
          <w:sz w:val="24"/>
          <w:szCs w:val="24"/>
        </w:rPr>
      </w:pPr>
      <w:r w:rsidRPr="00E21E85">
        <w:rPr>
          <w:rFonts w:ascii="Dante MT" w:hAnsi="Dante MT" w:cs="Times New Roman"/>
          <w:sz w:val="24"/>
          <w:szCs w:val="24"/>
        </w:rPr>
        <w:t xml:space="preserve">Jesus said, “You did not choose me, but I chose you and appointed you that you should go and bear fruit and that your fruit should abide, so that whatever you ask the Father in my name, he may give it to you. All that the </w:t>
      </w:r>
      <w:proofErr w:type="gramStart"/>
      <w:r w:rsidRPr="00E21E85">
        <w:rPr>
          <w:rFonts w:ascii="Dante MT" w:hAnsi="Dante MT" w:cs="Times New Roman"/>
          <w:sz w:val="24"/>
          <w:szCs w:val="24"/>
        </w:rPr>
        <w:t>Father</w:t>
      </w:r>
      <w:proofErr w:type="gramEnd"/>
      <w:r w:rsidRPr="00E21E85">
        <w:rPr>
          <w:rFonts w:ascii="Dante MT" w:hAnsi="Dante MT" w:cs="Times New Roman"/>
          <w:sz w:val="24"/>
          <w:szCs w:val="24"/>
        </w:rPr>
        <w:t xml:space="preserve"> gives me will come to me, and whoever comes to me I will never cast out. No one can come to me unless the </w:t>
      </w:r>
      <w:proofErr w:type="gramStart"/>
      <w:r w:rsidRPr="00E21E85">
        <w:rPr>
          <w:rFonts w:ascii="Dante MT" w:hAnsi="Dante MT" w:cs="Times New Roman"/>
          <w:sz w:val="24"/>
          <w:szCs w:val="24"/>
        </w:rPr>
        <w:t>Father</w:t>
      </w:r>
      <w:proofErr w:type="gramEnd"/>
      <w:r w:rsidRPr="00E21E85">
        <w:rPr>
          <w:rFonts w:ascii="Dante MT" w:hAnsi="Dante MT" w:cs="Times New Roman"/>
          <w:sz w:val="24"/>
          <w:szCs w:val="24"/>
        </w:rPr>
        <w:t xml:space="preserve"> who sent me draws him. And I will raise him up on the last day.” For by </w:t>
      </w:r>
      <w:proofErr w:type="gramStart"/>
      <w:r w:rsidRPr="00E21E85">
        <w:rPr>
          <w:rFonts w:ascii="Dante MT" w:hAnsi="Dante MT" w:cs="Times New Roman"/>
          <w:sz w:val="24"/>
          <w:szCs w:val="24"/>
        </w:rPr>
        <w:t>grace</w:t>
      </w:r>
      <w:proofErr w:type="gramEnd"/>
      <w:r w:rsidRPr="00E21E85">
        <w:rPr>
          <w:rFonts w:ascii="Dante MT" w:hAnsi="Dante MT" w:cs="Times New Roman"/>
          <w:sz w:val="24"/>
          <w:szCs w:val="24"/>
        </w:rPr>
        <w:t xml:space="preserve"> you have been saved through faith. And this is not your own doing; it is the gift of God, not a result of works, so that no one may boast.</w:t>
      </w:r>
    </w:p>
    <w:p w14:paraId="5F813C94" w14:textId="77777777" w:rsidR="00576719" w:rsidRPr="00E21E85" w:rsidRDefault="00576719" w:rsidP="00576719">
      <w:pPr>
        <w:spacing w:after="0" w:line="240" w:lineRule="auto"/>
        <w:ind w:firstLine="432"/>
        <w:rPr>
          <w:rFonts w:ascii="Dante MT" w:hAnsi="Dante MT" w:cs="Times New Roman"/>
          <w:sz w:val="24"/>
          <w:szCs w:val="24"/>
        </w:rPr>
      </w:pPr>
    </w:p>
    <w:p w14:paraId="7BFDEC8D" w14:textId="77777777" w:rsidR="00576719" w:rsidRPr="00E21E85" w:rsidRDefault="00576719" w:rsidP="00576719">
      <w:pPr>
        <w:spacing w:after="0" w:line="278" w:lineRule="auto"/>
        <w:rPr>
          <w:rFonts w:ascii="Dante MT" w:hAnsi="Dante MT" w:cs="Times New Roman"/>
        </w:rPr>
      </w:pPr>
      <w:r w:rsidRPr="00E21E85">
        <w:rPr>
          <w:rFonts w:ascii="Dante MT" w:hAnsi="Dante MT" w:cs="Times New Roman"/>
          <w:sz w:val="20"/>
          <w:szCs w:val="20"/>
        </w:rPr>
        <w:t xml:space="preserve">Matthew 22:14; Ephesians 1:4–5; Romans 8:29–30; Romans 9:11, 16; 2 Timothy 1:9; John 15:16; John 6:37; John 6:44; </w:t>
      </w:r>
      <w:r w:rsidRPr="00E21E85">
        <w:rPr>
          <w:rFonts w:ascii="Dante MT" w:hAnsi="Dante MT" w:cs="Times New Roman"/>
          <w:sz w:val="20"/>
          <w:szCs w:val="20"/>
        </w:rPr>
        <w:br/>
        <w:t>Ephesians 2:8-9</w:t>
      </w:r>
    </w:p>
    <w:p w14:paraId="5768E7EA" w14:textId="77777777" w:rsidR="00576719" w:rsidRPr="00E21E85" w:rsidRDefault="00576719" w:rsidP="00576719">
      <w:pPr>
        <w:spacing w:after="0" w:line="278" w:lineRule="auto"/>
        <w:ind w:firstLine="432"/>
        <w:rPr>
          <w:rFonts w:ascii="Dante MT" w:hAnsi="Dante MT" w:cs="Times New Roman"/>
        </w:rPr>
      </w:pPr>
    </w:p>
    <w:p w14:paraId="6E95DE3C" w14:textId="77777777" w:rsidR="00576719" w:rsidRPr="00E21E85" w:rsidRDefault="00576719" w:rsidP="00576719">
      <w:pPr>
        <w:rPr>
          <w:rFonts w:ascii="Dante MT" w:hAnsi="Dante MT" w:cs="Times New Roman"/>
          <w:b/>
          <w:bCs/>
          <w:sz w:val="24"/>
          <w:szCs w:val="24"/>
        </w:rPr>
      </w:pPr>
      <w:r w:rsidRPr="00E21E85">
        <w:rPr>
          <w:rFonts w:ascii="Dante MT" w:hAnsi="Dante MT" w:cs="Times New Roman"/>
          <w:b/>
          <w:bCs/>
          <w:sz w:val="24"/>
          <w:szCs w:val="24"/>
        </w:rPr>
        <w:t>For Further Reading</w:t>
      </w:r>
    </w:p>
    <w:p w14:paraId="067BA906" w14:textId="77777777" w:rsidR="00576719" w:rsidRPr="00E21E85" w:rsidRDefault="00576719" w:rsidP="00576719">
      <w:pPr>
        <w:rPr>
          <w:rFonts w:ascii="Dante MT" w:hAnsi="Dante MT" w:cs="Times New Roman"/>
          <w:sz w:val="24"/>
          <w:szCs w:val="24"/>
        </w:rPr>
      </w:pPr>
      <w:r w:rsidRPr="00E21E85">
        <w:rPr>
          <w:rFonts w:ascii="Dante MT" w:hAnsi="Dante MT" w:cs="Times New Roman"/>
          <w:sz w:val="24"/>
          <w:szCs w:val="24"/>
        </w:rPr>
        <w:t xml:space="preserve">Geisler, Norman L., </w:t>
      </w:r>
      <w:r w:rsidRPr="00E21E85">
        <w:rPr>
          <w:rFonts w:ascii="Dante MT" w:hAnsi="Dante MT" w:cs="Times New Roman"/>
          <w:i/>
          <w:iCs/>
          <w:sz w:val="24"/>
          <w:szCs w:val="24"/>
        </w:rPr>
        <w:t xml:space="preserve">Chosen </w:t>
      </w:r>
      <w:proofErr w:type="gramStart"/>
      <w:r w:rsidRPr="00E21E85">
        <w:rPr>
          <w:rFonts w:ascii="Dante MT" w:hAnsi="Dante MT" w:cs="Times New Roman"/>
          <w:i/>
          <w:iCs/>
          <w:sz w:val="24"/>
          <w:szCs w:val="24"/>
        </w:rPr>
        <w:t>But</w:t>
      </w:r>
      <w:proofErr w:type="gramEnd"/>
      <w:r w:rsidRPr="00E21E85">
        <w:rPr>
          <w:rFonts w:ascii="Dante MT" w:hAnsi="Dante MT" w:cs="Times New Roman"/>
          <w:i/>
          <w:iCs/>
          <w:sz w:val="24"/>
          <w:szCs w:val="24"/>
        </w:rPr>
        <w:t xml:space="preserve"> Free: A Balanced View of God’s Sovereignty and Free Will</w:t>
      </w:r>
      <w:r w:rsidRPr="00E21E85">
        <w:rPr>
          <w:rFonts w:ascii="Dante MT" w:hAnsi="Dante MT" w:cs="Times New Roman"/>
          <w:sz w:val="24"/>
          <w:szCs w:val="24"/>
        </w:rPr>
        <w:t>, Third Edition (Bethany House Publishers, 2010)</w:t>
      </w:r>
      <w:r w:rsidRPr="00E21E85">
        <w:rPr>
          <w:rFonts w:ascii="Dante MT" w:hAnsi="Dante MT" w:cs="Times New Roman"/>
          <w:sz w:val="24"/>
          <w:szCs w:val="24"/>
        </w:rPr>
        <w:br/>
        <w:t xml:space="preserve">George, Timothy, </w:t>
      </w:r>
      <w:r w:rsidRPr="00E21E85">
        <w:rPr>
          <w:rFonts w:ascii="Dante MT" w:hAnsi="Dante MT" w:cs="Times New Roman"/>
          <w:i/>
          <w:iCs/>
          <w:sz w:val="24"/>
          <w:szCs w:val="24"/>
        </w:rPr>
        <w:t>Amazing Grace: God’s Pursuit, Our Response</w:t>
      </w:r>
      <w:r w:rsidRPr="00E21E85">
        <w:rPr>
          <w:rFonts w:ascii="Dante MT" w:hAnsi="Dante MT" w:cs="Times New Roman"/>
          <w:sz w:val="24"/>
          <w:szCs w:val="24"/>
        </w:rPr>
        <w:t>, Second Edition (Crossway 2011)</w:t>
      </w:r>
      <w:r w:rsidRPr="00E21E85">
        <w:rPr>
          <w:rFonts w:ascii="Dante MT" w:hAnsi="Dante MT" w:cs="Times New Roman"/>
          <w:sz w:val="24"/>
          <w:szCs w:val="24"/>
        </w:rPr>
        <w:br/>
        <w:t xml:space="preserve">Naselli, Andrew David, </w:t>
      </w:r>
      <w:r w:rsidRPr="00E21E85">
        <w:rPr>
          <w:rFonts w:ascii="Dante MT" w:hAnsi="Dante MT" w:cs="Times New Roman"/>
          <w:i/>
          <w:iCs/>
          <w:sz w:val="24"/>
          <w:szCs w:val="24"/>
        </w:rPr>
        <w:t>Predestination: An Introduction</w:t>
      </w:r>
      <w:r w:rsidRPr="00E21E85">
        <w:rPr>
          <w:rFonts w:ascii="Dante MT" w:hAnsi="Dante MT" w:cs="Times New Roman"/>
          <w:sz w:val="24"/>
          <w:szCs w:val="24"/>
        </w:rPr>
        <w:t xml:space="preserve"> (Crossway, 2024)</w:t>
      </w:r>
      <w:r w:rsidRPr="00E21E85">
        <w:rPr>
          <w:rFonts w:ascii="Dante MT" w:hAnsi="Dante MT" w:cs="Times New Roman"/>
          <w:sz w:val="24"/>
          <w:szCs w:val="24"/>
        </w:rPr>
        <w:br/>
        <w:t>Storms, Sam</w:t>
      </w:r>
      <w:r w:rsidRPr="00E21E85">
        <w:rPr>
          <w:rFonts w:ascii="Dante MT" w:hAnsi="Dante MT" w:cs="Times New Roman"/>
          <w:i/>
          <w:iCs/>
          <w:sz w:val="24"/>
          <w:szCs w:val="24"/>
        </w:rPr>
        <w:t>, Chosen for Life: A Case for Divine Election</w:t>
      </w:r>
      <w:r w:rsidRPr="00E21E85">
        <w:rPr>
          <w:rFonts w:ascii="Dante MT" w:hAnsi="Dante MT" w:cs="Times New Roman"/>
          <w:sz w:val="24"/>
          <w:szCs w:val="24"/>
        </w:rPr>
        <w:t xml:space="preserve"> (Crossway, 2007)</w:t>
      </w:r>
    </w:p>
    <w:p w14:paraId="7CEF1F26" w14:textId="77777777" w:rsidR="00EA57F8" w:rsidRDefault="00EA57F8"/>
    <w:sectPr w:rsidR="00EA57F8" w:rsidSect="00BC4A3E">
      <w:headerReference w:type="even" r:id="rId7"/>
      <w:headerReference w:type="default" r:id="rId8"/>
      <w:footerReference w:type="even" r:id="rId9"/>
      <w:footerReference w:type="default" r:id="rId10"/>
      <w:headerReference w:type="first" r:id="rId11"/>
      <w:footerReference w:type="first" r:id="rId12"/>
      <w:pgSz w:w="12240" w:h="15840" w:code="1"/>
      <w:pgMar w:top="1440" w:right="1008" w:bottom="1152" w:left="1008" w:header="720"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D753DF" w14:textId="77777777" w:rsidR="00840D49" w:rsidRDefault="00840D49" w:rsidP="00576719">
      <w:pPr>
        <w:spacing w:after="0" w:line="240" w:lineRule="auto"/>
      </w:pPr>
      <w:r>
        <w:separator/>
      </w:r>
    </w:p>
  </w:endnote>
  <w:endnote w:type="continuationSeparator" w:id="0">
    <w:p w14:paraId="5046290F" w14:textId="77777777" w:rsidR="00840D49" w:rsidRDefault="00840D49" w:rsidP="005767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Dante MT">
    <w:panose1 w:val="00000000000000000000"/>
    <w:charset w:val="00"/>
    <w:family w:val="modern"/>
    <w:notTrueType/>
    <w:pitch w:val="variable"/>
    <w:sig w:usb0="A000002F" w:usb1="40000048" w:usb2="00000000" w:usb3="00000000" w:csb0="00000111" w:csb1="00000000"/>
  </w:font>
  <w:font w:name="Dante MT Std">
    <w:altName w:val="Cambria"/>
    <w:charset w:val="00"/>
    <w:family w:val="roman"/>
    <w:pitch w:val="variable"/>
    <w:sig w:usb0="00000003" w:usb1="00000001"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758309" w14:textId="77777777" w:rsidR="00FB7661" w:rsidRDefault="00FB766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EEA409" w14:textId="77777777" w:rsidR="00FB7661" w:rsidRDefault="00FB766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0725EB" w14:textId="77777777" w:rsidR="00FB7661" w:rsidRDefault="00FB766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E4F315" w14:textId="77777777" w:rsidR="00840D49" w:rsidRDefault="00840D49" w:rsidP="00576719">
      <w:pPr>
        <w:spacing w:after="0" w:line="240" w:lineRule="auto"/>
      </w:pPr>
      <w:r>
        <w:separator/>
      </w:r>
    </w:p>
  </w:footnote>
  <w:footnote w:type="continuationSeparator" w:id="0">
    <w:p w14:paraId="29456C02" w14:textId="77777777" w:rsidR="00840D49" w:rsidRDefault="00840D49" w:rsidP="00576719">
      <w:pPr>
        <w:spacing w:after="0" w:line="240" w:lineRule="auto"/>
      </w:pPr>
      <w:r>
        <w:continuationSeparator/>
      </w:r>
    </w:p>
  </w:footnote>
  <w:footnote w:id="1">
    <w:p w14:paraId="510FFD28" w14:textId="77777777" w:rsidR="00576719" w:rsidRPr="00E21E85" w:rsidRDefault="00576719" w:rsidP="00576719">
      <w:pPr>
        <w:pStyle w:val="FootnoteText"/>
        <w:rPr>
          <w:rFonts w:ascii="Dante MT" w:hAnsi="Dante MT"/>
        </w:rPr>
      </w:pPr>
      <w:r w:rsidRPr="00E21E85">
        <w:rPr>
          <w:rStyle w:val="FootnoteReference"/>
          <w:rFonts w:ascii="Dante MT" w:hAnsi="Dante MT"/>
        </w:rPr>
        <w:footnoteRef/>
      </w:r>
      <w:r w:rsidRPr="00E21E85">
        <w:rPr>
          <w:rFonts w:ascii="Dante MT" w:hAnsi="Dante MT"/>
        </w:rPr>
        <w:t xml:space="preserve"> Wayne Grudem, </w:t>
      </w:r>
      <w:r w:rsidRPr="00E21E85">
        <w:rPr>
          <w:rFonts w:ascii="Dante MT" w:hAnsi="Dante MT"/>
          <w:i/>
          <w:iCs/>
        </w:rPr>
        <w:t>Systematic Theology, Second Edition</w:t>
      </w:r>
      <w:r w:rsidRPr="00E21E85">
        <w:rPr>
          <w:rFonts w:ascii="Dante MT" w:hAnsi="Dante MT"/>
        </w:rPr>
        <w:t xml:space="preserve"> (Grand Rapids: Zondervan, 2020), 818.</w:t>
      </w:r>
    </w:p>
  </w:footnote>
  <w:footnote w:id="2">
    <w:p w14:paraId="6D6FC74A" w14:textId="77777777" w:rsidR="00576719" w:rsidRPr="00E21E85" w:rsidRDefault="00576719" w:rsidP="00576719">
      <w:pPr>
        <w:pStyle w:val="FootnoteText"/>
        <w:rPr>
          <w:rFonts w:ascii="Dante MT" w:hAnsi="Dante MT"/>
        </w:rPr>
      </w:pPr>
      <w:r w:rsidRPr="00E21E85">
        <w:rPr>
          <w:rStyle w:val="FootnoteReference"/>
          <w:rFonts w:ascii="Dante MT" w:hAnsi="Dante MT"/>
        </w:rPr>
        <w:footnoteRef/>
      </w:r>
      <w:r w:rsidRPr="00E21E85">
        <w:rPr>
          <w:rFonts w:ascii="Dante MT" w:hAnsi="Dante MT"/>
        </w:rPr>
        <w:t xml:space="preserve"> Augustine, </w:t>
      </w:r>
      <w:r w:rsidRPr="00E21E85">
        <w:rPr>
          <w:rFonts w:ascii="Dante MT" w:hAnsi="Dante MT"/>
          <w:i/>
          <w:iCs/>
        </w:rPr>
        <w:t>On the Predestination of the Saints</w:t>
      </w:r>
      <w:r w:rsidRPr="00E21E85">
        <w:rPr>
          <w:rFonts w:ascii="Dante MT" w:hAnsi="Dante MT"/>
        </w:rPr>
        <w:t xml:space="preserve">, quoted in Augustus H. Strong’s </w:t>
      </w:r>
      <w:r w:rsidRPr="00E21E85">
        <w:rPr>
          <w:rFonts w:ascii="Dante MT" w:hAnsi="Dante MT"/>
          <w:i/>
          <w:iCs/>
        </w:rPr>
        <w:t>Systematic Theology, A Compendium</w:t>
      </w:r>
      <w:r w:rsidRPr="00E21E85">
        <w:rPr>
          <w:rFonts w:ascii="Dante MT" w:hAnsi="Dante MT"/>
        </w:rPr>
        <w:t xml:space="preserve"> (Westwood, New Jersey, Fleming H. Revell Company, 1907), 784.</w:t>
      </w:r>
    </w:p>
  </w:footnote>
  <w:footnote w:id="3">
    <w:p w14:paraId="743D40F7" w14:textId="77777777" w:rsidR="00576719" w:rsidRPr="000614A8" w:rsidRDefault="00576719" w:rsidP="00576719">
      <w:pPr>
        <w:pStyle w:val="FootnoteText"/>
        <w:rPr>
          <w:rFonts w:ascii="Dante MT Std" w:hAnsi="Dante MT Std"/>
        </w:rPr>
      </w:pPr>
      <w:r w:rsidRPr="00E21E85">
        <w:rPr>
          <w:rStyle w:val="FootnoteReference"/>
          <w:rFonts w:ascii="Dante MT" w:hAnsi="Dante MT"/>
        </w:rPr>
        <w:footnoteRef/>
      </w:r>
      <w:r w:rsidRPr="00E21E85">
        <w:rPr>
          <w:rFonts w:ascii="Dante MT" w:hAnsi="Dante MT"/>
        </w:rPr>
        <w:t xml:space="preserve"> Thomas Watson, </w:t>
      </w:r>
      <w:r w:rsidRPr="00E21E85">
        <w:rPr>
          <w:rFonts w:ascii="Dante MT" w:hAnsi="Dante MT"/>
          <w:i/>
          <w:iCs/>
        </w:rPr>
        <w:t>A Body of Divinity</w:t>
      </w:r>
      <w:r w:rsidRPr="00E21E85">
        <w:rPr>
          <w:rFonts w:ascii="Dante MT" w:hAnsi="Dante MT"/>
        </w:rPr>
        <w:t xml:space="preserve"> (Edinburgh: Banner of Truth, 1958), 70. (Emphasis added)</w:t>
      </w:r>
      <w:r w:rsidRPr="00E21E85">
        <w:rPr>
          <w:rFonts w:ascii="Dante MT" w:hAnsi="Dante MT"/>
        </w:rPr>
        <w:b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E48870" w14:textId="77777777" w:rsidR="00FB7661" w:rsidRDefault="00FB766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FBBD09" w14:textId="43413597" w:rsidR="00CB5175" w:rsidRPr="00C218D2" w:rsidRDefault="00CB5175" w:rsidP="00C218D2">
    <w:pPr>
      <w:pStyle w:val="Header"/>
      <w:jc w:val="right"/>
      <w:rPr>
        <w:rFonts w:ascii="Dante MT" w:hAnsi="Dante MT" w:cs="Times New Roman"/>
        <w:sz w:val="20"/>
        <w:szCs w:val="20"/>
      </w:rPr>
    </w:pPr>
    <w:r w:rsidRPr="003C5405">
      <w:rPr>
        <w:rFonts w:ascii="Dante MT" w:hAnsi="Dante MT" w:cs="Times New Roman"/>
        <w:sz w:val="20"/>
        <w:szCs w:val="20"/>
      </w:rPr>
      <w:t xml:space="preserve">Election - </w:t>
    </w:r>
    <w:sdt>
      <w:sdtPr>
        <w:rPr>
          <w:rFonts w:ascii="Dante MT" w:hAnsi="Dante MT" w:cs="Times New Roman"/>
          <w:sz w:val="20"/>
          <w:szCs w:val="20"/>
        </w:rPr>
        <w:id w:val="314685341"/>
        <w:docPartObj>
          <w:docPartGallery w:val="Page Numbers (Top of Page)"/>
          <w:docPartUnique/>
        </w:docPartObj>
      </w:sdtPr>
      <w:sdtEndPr>
        <w:rPr>
          <w:noProof/>
        </w:rPr>
      </w:sdtEndPr>
      <w:sdtContent>
        <w:r w:rsidRPr="003C5405">
          <w:rPr>
            <w:rFonts w:ascii="Dante MT" w:hAnsi="Dante MT" w:cs="Times New Roman"/>
            <w:sz w:val="20"/>
            <w:szCs w:val="20"/>
          </w:rPr>
          <w:fldChar w:fldCharType="begin"/>
        </w:r>
        <w:r w:rsidRPr="003C5405">
          <w:rPr>
            <w:rFonts w:ascii="Dante MT" w:hAnsi="Dante MT" w:cs="Times New Roman"/>
            <w:sz w:val="20"/>
            <w:szCs w:val="20"/>
          </w:rPr>
          <w:instrText xml:space="preserve"> PAGE   \* MERGEFORMAT </w:instrText>
        </w:r>
        <w:r w:rsidRPr="003C5405">
          <w:rPr>
            <w:rFonts w:ascii="Dante MT" w:hAnsi="Dante MT" w:cs="Times New Roman"/>
            <w:sz w:val="20"/>
            <w:szCs w:val="20"/>
          </w:rPr>
          <w:fldChar w:fldCharType="separate"/>
        </w:r>
        <w:r w:rsidRPr="003C5405">
          <w:rPr>
            <w:rFonts w:ascii="Dante MT" w:hAnsi="Dante MT" w:cs="Times New Roman"/>
            <w:noProof/>
            <w:sz w:val="20"/>
            <w:szCs w:val="20"/>
          </w:rPr>
          <w:t>2</w:t>
        </w:r>
        <w:r w:rsidRPr="003C5405">
          <w:rPr>
            <w:rFonts w:ascii="Dante MT" w:hAnsi="Dante MT" w:cs="Times New Roman"/>
            <w:noProof/>
            <w:sz w:val="20"/>
            <w:szCs w:val="20"/>
          </w:rPr>
          <w:fldChar w:fldCharType="end"/>
        </w: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4787FE" w14:textId="77777777" w:rsidR="00FB7661" w:rsidRDefault="00FB766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1"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2"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3"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4"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5"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6" w15:restartNumberingAfterBreak="0">
    <w:nsid w:val="02FC3E2E"/>
    <w:multiLevelType w:val="multilevel"/>
    <w:tmpl w:val="CA48D2B0"/>
    <w:lvl w:ilvl="0">
      <w:start w:val="36"/>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7" w15:restartNumberingAfterBreak="0">
    <w:nsid w:val="056B0F5C"/>
    <w:multiLevelType w:val="multilevel"/>
    <w:tmpl w:val="F5046526"/>
    <w:lvl w:ilvl="0">
      <w:start w:val="46"/>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8" w15:restartNumberingAfterBreak="0">
    <w:nsid w:val="18995D47"/>
    <w:multiLevelType w:val="multilevel"/>
    <w:tmpl w:val="5CEA1512"/>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AD757EE"/>
    <w:multiLevelType w:val="multilevel"/>
    <w:tmpl w:val="03645B90"/>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085504A"/>
    <w:multiLevelType w:val="multilevel"/>
    <w:tmpl w:val="DACEB7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1DE5F52"/>
    <w:multiLevelType w:val="multilevel"/>
    <w:tmpl w:val="0E82D2EC"/>
    <w:lvl w:ilvl="0">
      <w:start w:val="4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9FC7F1D"/>
    <w:multiLevelType w:val="multilevel"/>
    <w:tmpl w:val="7E305DD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FC45162"/>
    <w:multiLevelType w:val="multilevel"/>
    <w:tmpl w:val="B518E1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6825441"/>
    <w:multiLevelType w:val="multilevel"/>
    <w:tmpl w:val="E22C344E"/>
    <w:lvl w:ilvl="0">
      <w:start w:val="34"/>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5" w15:restartNumberingAfterBreak="0">
    <w:nsid w:val="70C46319"/>
    <w:multiLevelType w:val="multilevel"/>
    <w:tmpl w:val="23B091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75576B0C"/>
    <w:multiLevelType w:val="multilevel"/>
    <w:tmpl w:val="0BAE5FA0"/>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691688901">
    <w:abstractNumId w:val="5"/>
  </w:num>
  <w:num w:numId="2" w16cid:durableId="534466354">
    <w:abstractNumId w:val="3"/>
  </w:num>
  <w:num w:numId="3" w16cid:durableId="1453089806">
    <w:abstractNumId w:val="2"/>
  </w:num>
  <w:num w:numId="4" w16cid:durableId="497499260">
    <w:abstractNumId w:val="4"/>
  </w:num>
  <w:num w:numId="5" w16cid:durableId="1949507829">
    <w:abstractNumId w:val="1"/>
  </w:num>
  <w:num w:numId="6" w16cid:durableId="535775802">
    <w:abstractNumId w:val="0"/>
  </w:num>
  <w:num w:numId="7" w16cid:durableId="1585457284">
    <w:abstractNumId w:val="15"/>
  </w:num>
  <w:num w:numId="8" w16cid:durableId="1280408784">
    <w:abstractNumId w:val="8"/>
  </w:num>
  <w:num w:numId="9" w16cid:durableId="158810155">
    <w:abstractNumId w:val="9"/>
  </w:num>
  <w:num w:numId="10" w16cid:durableId="1745908422">
    <w:abstractNumId w:val="16"/>
  </w:num>
  <w:num w:numId="11" w16cid:durableId="1644307708">
    <w:abstractNumId w:val="14"/>
  </w:num>
  <w:num w:numId="12" w16cid:durableId="1502430190">
    <w:abstractNumId w:val="6"/>
  </w:num>
  <w:num w:numId="13" w16cid:durableId="451948440">
    <w:abstractNumId w:val="11"/>
  </w:num>
  <w:num w:numId="14" w16cid:durableId="1547527719">
    <w:abstractNumId w:val="7"/>
  </w:num>
  <w:num w:numId="15" w16cid:durableId="1214076171">
    <w:abstractNumId w:val="12"/>
  </w:num>
  <w:num w:numId="16" w16cid:durableId="1910653187">
    <w:abstractNumId w:val="13"/>
  </w:num>
  <w:num w:numId="17" w16cid:durableId="143459398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6719"/>
    <w:rsid w:val="0022670C"/>
    <w:rsid w:val="003C5405"/>
    <w:rsid w:val="00576719"/>
    <w:rsid w:val="005B513A"/>
    <w:rsid w:val="00840D49"/>
    <w:rsid w:val="008F48DD"/>
    <w:rsid w:val="00944548"/>
    <w:rsid w:val="009529AF"/>
    <w:rsid w:val="00B05911"/>
    <w:rsid w:val="00BC4A3E"/>
    <w:rsid w:val="00C218D2"/>
    <w:rsid w:val="00C93AFA"/>
    <w:rsid w:val="00CB5175"/>
    <w:rsid w:val="00EA57F8"/>
    <w:rsid w:val="00F301C3"/>
    <w:rsid w:val="00F92203"/>
    <w:rsid w:val="00FB76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950F11"/>
  <w15:chartTrackingRefBased/>
  <w15:docId w15:val="{1AF7A572-E920-401D-877C-7EC0271603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76719"/>
    <w:pPr>
      <w:spacing w:after="200" w:line="276" w:lineRule="auto"/>
    </w:pPr>
    <w:rPr>
      <w:rFonts w:eastAsiaTheme="minorEastAsia"/>
      <w:kern w:val="0"/>
      <w:sz w:val="22"/>
      <w:szCs w:val="22"/>
      <w14:ligatures w14:val="none"/>
    </w:rPr>
  </w:style>
  <w:style w:type="paragraph" w:styleId="Heading1">
    <w:name w:val="heading 1"/>
    <w:basedOn w:val="Normal"/>
    <w:next w:val="Normal"/>
    <w:link w:val="Heading1Char"/>
    <w:uiPriority w:val="9"/>
    <w:qFormat/>
    <w:rsid w:val="0057671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57671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57671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7671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7671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7671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7671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7671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7671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7671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57671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57671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7671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7671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7671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7671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7671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76719"/>
    <w:rPr>
      <w:rFonts w:eastAsiaTheme="majorEastAsia" w:cstheme="majorBidi"/>
      <w:color w:val="272727" w:themeColor="text1" w:themeTint="D8"/>
    </w:rPr>
  </w:style>
  <w:style w:type="paragraph" w:styleId="Title">
    <w:name w:val="Title"/>
    <w:basedOn w:val="Normal"/>
    <w:next w:val="Normal"/>
    <w:link w:val="TitleChar"/>
    <w:uiPriority w:val="10"/>
    <w:qFormat/>
    <w:rsid w:val="0057671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7671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7671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7671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76719"/>
    <w:pPr>
      <w:spacing w:before="160"/>
      <w:jc w:val="center"/>
    </w:pPr>
    <w:rPr>
      <w:i/>
      <w:iCs/>
      <w:color w:val="404040" w:themeColor="text1" w:themeTint="BF"/>
    </w:rPr>
  </w:style>
  <w:style w:type="character" w:customStyle="1" w:styleId="QuoteChar">
    <w:name w:val="Quote Char"/>
    <w:basedOn w:val="DefaultParagraphFont"/>
    <w:link w:val="Quote"/>
    <w:uiPriority w:val="29"/>
    <w:rsid w:val="00576719"/>
    <w:rPr>
      <w:i/>
      <w:iCs/>
      <w:color w:val="404040" w:themeColor="text1" w:themeTint="BF"/>
    </w:rPr>
  </w:style>
  <w:style w:type="paragraph" w:styleId="ListParagraph">
    <w:name w:val="List Paragraph"/>
    <w:basedOn w:val="Normal"/>
    <w:uiPriority w:val="34"/>
    <w:qFormat/>
    <w:rsid w:val="00576719"/>
    <w:pPr>
      <w:ind w:left="720"/>
      <w:contextualSpacing/>
    </w:pPr>
  </w:style>
  <w:style w:type="character" w:styleId="IntenseEmphasis">
    <w:name w:val="Intense Emphasis"/>
    <w:basedOn w:val="DefaultParagraphFont"/>
    <w:uiPriority w:val="21"/>
    <w:qFormat/>
    <w:rsid w:val="00576719"/>
    <w:rPr>
      <w:i/>
      <w:iCs/>
      <w:color w:val="0F4761" w:themeColor="accent1" w:themeShade="BF"/>
    </w:rPr>
  </w:style>
  <w:style w:type="paragraph" w:styleId="IntenseQuote">
    <w:name w:val="Intense Quote"/>
    <w:basedOn w:val="Normal"/>
    <w:next w:val="Normal"/>
    <w:link w:val="IntenseQuoteChar"/>
    <w:uiPriority w:val="30"/>
    <w:qFormat/>
    <w:rsid w:val="0057671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76719"/>
    <w:rPr>
      <w:i/>
      <w:iCs/>
      <w:color w:val="0F4761" w:themeColor="accent1" w:themeShade="BF"/>
    </w:rPr>
  </w:style>
  <w:style w:type="character" w:styleId="IntenseReference">
    <w:name w:val="Intense Reference"/>
    <w:basedOn w:val="DefaultParagraphFont"/>
    <w:uiPriority w:val="32"/>
    <w:qFormat/>
    <w:rsid w:val="00576719"/>
    <w:rPr>
      <w:b/>
      <w:bCs/>
      <w:smallCaps/>
      <w:color w:val="0F4761" w:themeColor="accent1" w:themeShade="BF"/>
      <w:spacing w:val="5"/>
    </w:rPr>
  </w:style>
  <w:style w:type="paragraph" w:styleId="Header">
    <w:name w:val="header"/>
    <w:basedOn w:val="Normal"/>
    <w:link w:val="HeaderChar"/>
    <w:uiPriority w:val="99"/>
    <w:unhideWhenUsed/>
    <w:rsid w:val="00576719"/>
    <w:pPr>
      <w:tabs>
        <w:tab w:val="center" w:pos="4680"/>
        <w:tab w:val="right" w:pos="9360"/>
      </w:tabs>
      <w:spacing w:after="0" w:line="240" w:lineRule="auto"/>
    </w:pPr>
  </w:style>
  <w:style w:type="character" w:customStyle="1" w:styleId="HeaderChar">
    <w:name w:val="Header Char"/>
    <w:basedOn w:val="DefaultParagraphFont"/>
    <w:link w:val="Header"/>
    <w:uiPriority w:val="99"/>
    <w:rsid w:val="00576719"/>
    <w:rPr>
      <w:rFonts w:eastAsiaTheme="minorEastAsia"/>
      <w:kern w:val="0"/>
      <w:sz w:val="22"/>
      <w:szCs w:val="22"/>
      <w14:ligatures w14:val="none"/>
    </w:rPr>
  </w:style>
  <w:style w:type="paragraph" w:styleId="Footer">
    <w:name w:val="footer"/>
    <w:basedOn w:val="Normal"/>
    <w:link w:val="FooterChar"/>
    <w:uiPriority w:val="99"/>
    <w:unhideWhenUsed/>
    <w:rsid w:val="00576719"/>
    <w:pPr>
      <w:tabs>
        <w:tab w:val="center" w:pos="4680"/>
        <w:tab w:val="right" w:pos="9360"/>
      </w:tabs>
      <w:spacing w:after="0" w:line="240" w:lineRule="auto"/>
    </w:pPr>
  </w:style>
  <w:style w:type="character" w:customStyle="1" w:styleId="FooterChar">
    <w:name w:val="Footer Char"/>
    <w:basedOn w:val="DefaultParagraphFont"/>
    <w:link w:val="Footer"/>
    <w:uiPriority w:val="99"/>
    <w:rsid w:val="00576719"/>
    <w:rPr>
      <w:rFonts w:eastAsiaTheme="minorEastAsia"/>
      <w:kern w:val="0"/>
      <w:sz w:val="22"/>
      <w:szCs w:val="22"/>
      <w14:ligatures w14:val="none"/>
    </w:rPr>
  </w:style>
  <w:style w:type="paragraph" w:styleId="NoSpacing">
    <w:name w:val="No Spacing"/>
    <w:uiPriority w:val="1"/>
    <w:qFormat/>
    <w:rsid w:val="00576719"/>
    <w:pPr>
      <w:spacing w:after="0" w:line="240" w:lineRule="auto"/>
    </w:pPr>
    <w:rPr>
      <w:rFonts w:eastAsiaTheme="minorEastAsia"/>
      <w:kern w:val="0"/>
      <w:sz w:val="22"/>
      <w:szCs w:val="22"/>
      <w14:ligatures w14:val="none"/>
    </w:rPr>
  </w:style>
  <w:style w:type="paragraph" w:styleId="BodyText">
    <w:name w:val="Body Text"/>
    <w:basedOn w:val="Normal"/>
    <w:link w:val="BodyTextChar"/>
    <w:uiPriority w:val="99"/>
    <w:unhideWhenUsed/>
    <w:rsid w:val="00576719"/>
    <w:pPr>
      <w:spacing w:after="120"/>
    </w:pPr>
  </w:style>
  <w:style w:type="character" w:customStyle="1" w:styleId="BodyTextChar">
    <w:name w:val="Body Text Char"/>
    <w:basedOn w:val="DefaultParagraphFont"/>
    <w:link w:val="BodyText"/>
    <w:uiPriority w:val="99"/>
    <w:rsid w:val="00576719"/>
    <w:rPr>
      <w:rFonts w:eastAsiaTheme="minorEastAsia"/>
      <w:kern w:val="0"/>
      <w:sz w:val="22"/>
      <w:szCs w:val="22"/>
      <w14:ligatures w14:val="none"/>
    </w:rPr>
  </w:style>
  <w:style w:type="paragraph" w:styleId="BodyText2">
    <w:name w:val="Body Text 2"/>
    <w:basedOn w:val="Normal"/>
    <w:link w:val="BodyText2Char"/>
    <w:uiPriority w:val="99"/>
    <w:unhideWhenUsed/>
    <w:rsid w:val="00576719"/>
    <w:pPr>
      <w:spacing w:after="120" w:line="480" w:lineRule="auto"/>
    </w:pPr>
  </w:style>
  <w:style w:type="character" w:customStyle="1" w:styleId="BodyText2Char">
    <w:name w:val="Body Text 2 Char"/>
    <w:basedOn w:val="DefaultParagraphFont"/>
    <w:link w:val="BodyText2"/>
    <w:uiPriority w:val="99"/>
    <w:rsid w:val="00576719"/>
    <w:rPr>
      <w:rFonts w:eastAsiaTheme="minorEastAsia"/>
      <w:kern w:val="0"/>
      <w:sz w:val="22"/>
      <w:szCs w:val="22"/>
      <w14:ligatures w14:val="none"/>
    </w:rPr>
  </w:style>
  <w:style w:type="paragraph" w:styleId="BodyText3">
    <w:name w:val="Body Text 3"/>
    <w:basedOn w:val="Normal"/>
    <w:link w:val="BodyText3Char"/>
    <w:uiPriority w:val="99"/>
    <w:unhideWhenUsed/>
    <w:rsid w:val="00576719"/>
    <w:pPr>
      <w:spacing w:after="120"/>
    </w:pPr>
    <w:rPr>
      <w:sz w:val="16"/>
      <w:szCs w:val="16"/>
    </w:rPr>
  </w:style>
  <w:style w:type="character" w:customStyle="1" w:styleId="BodyText3Char">
    <w:name w:val="Body Text 3 Char"/>
    <w:basedOn w:val="DefaultParagraphFont"/>
    <w:link w:val="BodyText3"/>
    <w:uiPriority w:val="99"/>
    <w:rsid w:val="00576719"/>
    <w:rPr>
      <w:rFonts w:eastAsiaTheme="minorEastAsia"/>
      <w:kern w:val="0"/>
      <w:sz w:val="16"/>
      <w:szCs w:val="16"/>
      <w14:ligatures w14:val="none"/>
    </w:rPr>
  </w:style>
  <w:style w:type="paragraph" w:styleId="List">
    <w:name w:val="List"/>
    <w:basedOn w:val="Normal"/>
    <w:uiPriority w:val="99"/>
    <w:unhideWhenUsed/>
    <w:rsid w:val="00576719"/>
    <w:pPr>
      <w:ind w:left="360" w:hanging="360"/>
      <w:contextualSpacing/>
    </w:pPr>
  </w:style>
  <w:style w:type="paragraph" w:styleId="List2">
    <w:name w:val="List 2"/>
    <w:basedOn w:val="Normal"/>
    <w:uiPriority w:val="99"/>
    <w:unhideWhenUsed/>
    <w:rsid w:val="00576719"/>
    <w:pPr>
      <w:ind w:left="720" w:hanging="360"/>
      <w:contextualSpacing/>
    </w:pPr>
  </w:style>
  <w:style w:type="paragraph" w:styleId="List3">
    <w:name w:val="List 3"/>
    <w:basedOn w:val="Normal"/>
    <w:uiPriority w:val="99"/>
    <w:unhideWhenUsed/>
    <w:rsid w:val="00576719"/>
    <w:pPr>
      <w:ind w:left="1080" w:hanging="360"/>
      <w:contextualSpacing/>
    </w:pPr>
  </w:style>
  <w:style w:type="paragraph" w:styleId="ListBullet">
    <w:name w:val="List Bullet"/>
    <w:basedOn w:val="Normal"/>
    <w:uiPriority w:val="99"/>
    <w:unhideWhenUsed/>
    <w:rsid w:val="00576719"/>
    <w:pPr>
      <w:numPr>
        <w:numId w:val="1"/>
      </w:numPr>
      <w:tabs>
        <w:tab w:val="clear" w:pos="360"/>
      </w:tabs>
      <w:ind w:left="0" w:firstLine="0"/>
      <w:contextualSpacing/>
    </w:pPr>
  </w:style>
  <w:style w:type="paragraph" w:styleId="ListBullet2">
    <w:name w:val="List Bullet 2"/>
    <w:basedOn w:val="Normal"/>
    <w:uiPriority w:val="99"/>
    <w:unhideWhenUsed/>
    <w:rsid w:val="00576719"/>
    <w:pPr>
      <w:numPr>
        <w:numId w:val="2"/>
      </w:numPr>
      <w:tabs>
        <w:tab w:val="clear" w:pos="720"/>
      </w:tabs>
      <w:ind w:left="0" w:firstLine="0"/>
      <w:contextualSpacing/>
    </w:pPr>
  </w:style>
  <w:style w:type="paragraph" w:styleId="ListBullet3">
    <w:name w:val="List Bullet 3"/>
    <w:basedOn w:val="Normal"/>
    <w:uiPriority w:val="99"/>
    <w:unhideWhenUsed/>
    <w:rsid w:val="00576719"/>
    <w:pPr>
      <w:numPr>
        <w:numId w:val="3"/>
      </w:numPr>
      <w:tabs>
        <w:tab w:val="clear" w:pos="1080"/>
      </w:tabs>
      <w:ind w:left="0" w:firstLine="0"/>
      <w:contextualSpacing/>
    </w:pPr>
  </w:style>
  <w:style w:type="paragraph" w:styleId="ListNumber">
    <w:name w:val="List Number"/>
    <w:basedOn w:val="Normal"/>
    <w:uiPriority w:val="99"/>
    <w:unhideWhenUsed/>
    <w:rsid w:val="00576719"/>
    <w:pPr>
      <w:numPr>
        <w:numId w:val="4"/>
      </w:numPr>
      <w:tabs>
        <w:tab w:val="clear" w:pos="360"/>
      </w:tabs>
      <w:ind w:left="0" w:firstLine="0"/>
      <w:contextualSpacing/>
    </w:pPr>
  </w:style>
  <w:style w:type="paragraph" w:styleId="ListNumber2">
    <w:name w:val="List Number 2"/>
    <w:basedOn w:val="Normal"/>
    <w:uiPriority w:val="99"/>
    <w:unhideWhenUsed/>
    <w:rsid w:val="00576719"/>
    <w:pPr>
      <w:numPr>
        <w:numId w:val="5"/>
      </w:numPr>
      <w:tabs>
        <w:tab w:val="clear" w:pos="720"/>
      </w:tabs>
      <w:ind w:left="0" w:firstLine="0"/>
      <w:contextualSpacing/>
    </w:pPr>
  </w:style>
  <w:style w:type="paragraph" w:styleId="ListNumber3">
    <w:name w:val="List Number 3"/>
    <w:basedOn w:val="Normal"/>
    <w:uiPriority w:val="99"/>
    <w:unhideWhenUsed/>
    <w:rsid w:val="00576719"/>
    <w:pPr>
      <w:numPr>
        <w:numId w:val="6"/>
      </w:numPr>
      <w:tabs>
        <w:tab w:val="clear" w:pos="1080"/>
      </w:tabs>
      <w:ind w:left="0" w:firstLine="0"/>
      <w:contextualSpacing/>
    </w:pPr>
  </w:style>
  <w:style w:type="paragraph" w:styleId="ListContinue">
    <w:name w:val="List Continue"/>
    <w:basedOn w:val="Normal"/>
    <w:uiPriority w:val="99"/>
    <w:unhideWhenUsed/>
    <w:rsid w:val="00576719"/>
    <w:pPr>
      <w:spacing w:after="120"/>
      <w:ind w:left="360"/>
      <w:contextualSpacing/>
    </w:pPr>
  </w:style>
  <w:style w:type="paragraph" w:styleId="ListContinue2">
    <w:name w:val="List Continue 2"/>
    <w:basedOn w:val="Normal"/>
    <w:uiPriority w:val="99"/>
    <w:unhideWhenUsed/>
    <w:rsid w:val="00576719"/>
    <w:pPr>
      <w:spacing w:after="120"/>
      <w:ind w:left="720"/>
      <w:contextualSpacing/>
    </w:pPr>
  </w:style>
  <w:style w:type="paragraph" w:styleId="ListContinue3">
    <w:name w:val="List Continue 3"/>
    <w:basedOn w:val="Normal"/>
    <w:uiPriority w:val="99"/>
    <w:unhideWhenUsed/>
    <w:rsid w:val="00576719"/>
    <w:pPr>
      <w:spacing w:after="120"/>
      <w:ind w:left="1080"/>
      <w:contextualSpacing/>
    </w:pPr>
  </w:style>
  <w:style w:type="paragraph" w:styleId="MacroText">
    <w:name w:val="macro"/>
    <w:link w:val="MacroTextChar"/>
    <w:uiPriority w:val="99"/>
    <w:unhideWhenUsed/>
    <w:rsid w:val="00576719"/>
    <w:pPr>
      <w:tabs>
        <w:tab w:val="left" w:pos="576"/>
        <w:tab w:val="left" w:pos="1152"/>
        <w:tab w:val="left" w:pos="1728"/>
        <w:tab w:val="left" w:pos="2304"/>
        <w:tab w:val="left" w:pos="2880"/>
        <w:tab w:val="left" w:pos="3456"/>
        <w:tab w:val="left" w:pos="4032"/>
      </w:tabs>
      <w:spacing w:after="200" w:line="276" w:lineRule="auto"/>
    </w:pPr>
    <w:rPr>
      <w:rFonts w:ascii="Courier" w:eastAsiaTheme="minorEastAsia" w:hAnsi="Courier"/>
      <w:kern w:val="0"/>
      <w:sz w:val="20"/>
      <w:szCs w:val="20"/>
      <w14:ligatures w14:val="none"/>
    </w:rPr>
  </w:style>
  <w:style w:type="character" w:customStyle="1" w:styleId="MacroTextChar">
    <w:name w:val="Macro Text Char"/>
    <w:basedOn w:val="DefaultParagraphFont"/>
    <w:link w:val="MacroText"/>
    <w:uiPriority w:val="99"/>
    <w:rsid w:val="00576719"/>
    <w:rPr>
      <w:rFonts w:ascii="Courier" w:eastAsiaTheme="minorEastAsia" w:hAnsi="Courier"/>
      <w:kern w:val="0"/>
      <w:sz w:val="20"/>
      <w:szCs w:val="20"/>
      <w14:ligatures w14:val="none"/>
    </w:rPr>
  </w:style>
  <w:style w:type="paragraph" w:styleId="Caption">
    <w:name w:val="caption"/>
    <w:basedOn w:val="Normal"/>
    <w:next w:val="Normal"/>
    <w:uiPriority w:val="35"/>
    <w:semiHidden/>
    <w:unhideWhenUsed/>
    <w:qFormat/>
    <w:rsid w:val="00576719"/>
    <w:pPr>
      <w:spacing w:line="240" w:lineRule="auto"/>
    </w:pPr>
    <w:rPr>
      <w:b/>
      <w:bCs/>
      <w:color w:val="156082" w:themeColor="accent1"/>
      <w:sz w:val="18"/>
      <w:szCs w:val="18"/>
    </w:rPr>
  </w:style>
  <w:style w:type="character" w:styleId="Strong">
    <w:name w:val="Strong"/>
    <w:basedOn w:val="DefaultParagraphFont"/>
    <w:uiPriority w:val="22"/>
    <w:qFormat/>
    <w:rsid w:val="00576719"/>
    <w:rPr>
      <w:b/>
      <w:bCs/>
    </w:rPr>
  </w:style>
  <w:style w:type="character" w:styleId="Emphasis">
    <w:name w:val="Emphasis"/>
    <w:basedOn w:val="DefaultParagraphFont"/>
    <w:uiPriority w:val="20"/>
    <w:qFormat/>
    <w:rsid w:val="00576719"/>
    <w:rPr>
      <w:i/>
      <w:iCs/>
    </w:rPr>
  </w:style>
  <w:style w:type="character" w:styleId="SubtleEmphasis">
    <w:name w:val="Subtle Emphasis"/>
    <w:basedOn w:val="DefaultParagraphFont"/>
    <w:uiPriority w:val="19"/>
    <w:qFormat/>
    <w:rsid w:val="00576719"/>
    <w:rPr>
      <w:i/>
      <w:iCs/>
      <w:color w:val="808080" w:themeColor="text1" w:themeTint="7F"/>
    </w:rPr>
  </w:style>
  <w:style w:type="character" w:styleId="SubtleReference">
    <w:name w:val="Subtle Reference"/>
    <w:basedOn w:val="DefaultParagraphFont"/>
    <w:uiPriority w:val="31"/>
    <w:qFormat/>
    <w:rsid w:val="00576719"/>
    <w:rPr>
      <w:smallCaps/>
      <w:color w:val="E97132" w:themeColor="accent2"/>
      <w:u w:val="single"/>
    </w:rPr>
  </w:style>
  <w:style w:type="character" w:styleId="BookTitle">
    <w:name w:val="Book Title"/>
    <w:basedOn w:val="DefaultParagraphFont"/>
    <w:uiPriority w:val="33"/>
    <w:qFormat/>
    <w:rsid w:val="00576719"/>
    <w:rPr>
      <w:b/>
      <w:bCs/>
      <w:smallCaps/>
      <w:spacing w:val="5"/>
    </w:rPr>
  </w:style>
  <w:style w:type="paragraph" w:styleId="TOCHeading">
    <w:name w:val="TOC Heading"/>
    <w:basedOn w:val="Heading1"/>
    <w:next w:val="Normal"/>
    <w:uiPriority w:val="39"/>
    <w:semiHidden/>
    <w:unhideWhenUsed/>
    <w:qFormat/>
    <w:rsid w:val="00576719"/>
    <w:pPr>
      <w:spacing w:before="480" w:after="0"/>
      <w:outlineLvl w:val="9"/>
    </w:pPr>
    <w:rPr>
      <w:b/>
      <w:bCs/>
      <w:sz w:val="28"/>
      <w:szCs w:val="28"/>
    </w:rPr>
  </w:style>
  <w:style w:type="table" w:styleId="TableGrid">
    <w:name w:val="Table Grid"/>
    <w:basedOn w:val="TableNormal"/>
    <w:uiPriority w:val="59"/>
    <w:rsid w:val="00576719"/>
    <w:pPr>
      <w:spacing w:after="0" w:line="240" w:lineRule="auto"/>
    </w:pPr>
    <w:rPr>
      <w:rFonts w:eastAsiaTheme="minorEastAsia"/>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576719"/>
    <w:pPr>
      <w:spacing w:after="0" w:line="240" w:lineRule="auto"/>
    </w:pPr>
    <w:rPr>
      <w:rFonts w:eastAsiaTheme="minorEastAsia"/>
      <w:color w:val="000000" w:themeColor="text1" w:themeShade="BF"/>
      <w:kern w:val="0"/>
      <w:sz w:val="22"/>
      <w:szCs w:val="22"/>
      <w14:ligatures w14:val="none"/>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576719"/>
    <w:pPr>
      <w:spacing w:after="0" w:line="240" w:lineRule="auto"/>
    </w:pPr>
    <w:rPr>
      <w:rFonts w:eastAsiaTheme="minorEastAsia"/>
      <w:color w:val="0F4761" w:themeColor="accent1" w:themeShade="BF"/>
      <w:kern w:val="0"/>
      <w:sz w:val="22"/>
      <w:szCs w:val="22"/>
      <w14:ligatures w14:val="none"/>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576719"/>
    <w:pPr>
      <w:spacing w:after="0" w:line="240" w:lineRule="auto"/>
    </w:pPr>
    <w:rPr>
      <w:rFonts w:eastAsiaTheme="minorEastAsia"/>
      <w:color w:val="BF4E14" w:themeColor="accent2" w:themeShade="BF"/>
      <w:kern w:val="0"/>
      <w:sz w:val="22"/>
      <w:szCs w:val="22"/>
      <w14:ligatures w14:val="none"/>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576719"/>
    <w:pPr>
      <w:spacing w:after="0" w:line="240" w:lineRule="auto"/>
    </w:pPr>
    <w:rPr>
      <w:rFonts w:eastAsiaTheme="minorEastAsia"/>
      <w:color w:val="124F1A" w:themeColor="accent3" w:themeShade="BF"/>
      <w:kern w:val="0"/>
      <w:sz w:val="22"/>
      <w:szCs w:val="22"/>
      <w14:ligatures w14:val="none"/>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576719"/>
    <w:pPr>
      <w:spacing w:after="0" w:line="240" w:lineRule="auto"/>
    </w:pPr>
    <w:rPr>
      <w:rFonts w:eastAsiaTheme="minorEastAsia"/>
      <w:color w:val="0B769F" w:themeColor="accent4" w:themeShade="BF"/>
      <w:kern w:val="0"/>
      <w:sz w:val="22"/>
      <w:szCs w:val="22"/>
      <w14:ligatures w14:val="none"/>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576719"/>
    <w:pPr>
      <w:spacing w:after="0" w:line="240" w:lineRule="auto"/>
    </w:pPr>
    <w:rPr>
      <w:rFonts w:eastAsiaTheme="minorEastAsia"/>
      <w:color w:val="77206D" w:themeColor="accent5" w:themeShade="BF"/>
      <w:kern w:val="0"/>
      <w:sz w:val="22"/>
      <w:szCs w:val="22"/>
      <w14:ligatures w14:val="none"/>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576719"/>
    <w:pPr>
      <w:spacing w:after="0" w:line="240" w:lineRule="auto"/>
    </w:pPr>
    <w:rPr>
      <w:rFonts w:eastAsiaTheme="minorEastAsia"/>
      <w:color w:val="3A7C22" w:themeColor="accent6" w:themeShade="BF"/>
      <w:kern w:val="0"/>
      <w:sz w:val="22"/>
      <w:szCs w:val="22"/>
      <w14:ligatures w14:val="none"/>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576719"/>
    <w:pPr>
      <w:spacing w:after="0" w:line="240" w:lineRule="auto"/>
    </w:pPr>
    <w:rPr>
      <w:rFonts w:eastAsiaTheme="minorEastAsia"/>
      <w:kern w:val="0"/>
      <w:sz w:val="22"/>
      <w:szCs w:val="22"/>
      <w14:ligatures w14:val="non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576719"/>
    <w:pPr>
      <w:spacing w:after="0" w:line="240" w:lineRule="auto"/>
    </w:pPr>
    <w:rPr>
      <w:rFonts w:eastAsiaTheme="minorEastAsia"/>
      <w:kern w:val="0"/>
      <w:sz w:val="22"/>
      <w:szCs w:val="22"/>
      <w14:ligatures w14:val="none"/>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576719"/>
    <w:pPr>
      <w:spacing w:after="0" w:line="240" w:lineRule="auto"/>
    </w:pPr>
    <w:rPr>
      <w:rFonts w:eastAsiaTheme="minorEastAsia"/>
      <w:kern w:val="0"/>
      <w:sz w:val="22"/>
      <w:szCs w:val="22"/>
      <w14:ligatures w14:val="none"/>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576719"/>
    <w:pPr>
      <w:spacing w:after="0" w:line="240" w:lineRule="auto"/>
    </w:pPr>
    <w:rPr>
      <w:rFonts w:eastAsiaTheme="minorEastAsia"/>
      <w:kern w:val="0"/>
      <w:sz w:val="22"/>
      <w:szCs w:val="22"/>
      <w14:ligatures w14:val="none"/>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576719"/>
    <w:pPr>
      <w:spacing w:after="0" w:line="240" w:lineRule="auto"/>
    </w:pPr>
    <w:rPr>
      <w:rFonts w:eastAsiaTheme="minorEastAsia"/>
      <w:kern w:val="0"/>
      <w:sz w:val="22"/>
      <w:szCs w:val="22"/>
      <w14:ligatures w14:val="none"/>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576719"/>
    <w:pPr>
      <w:spacing w:after="0" w:line="240" w:lineRule="auto"/>
    </w:pPr>
    <w:rPr>
      <w:rFonts w:eastAsiaTheme="minorEastAsia"/>
      <w:kern w:val="0"/>
      <w:sz w:val="22"/>
      <w:szCs w:val="22"/>
      <w14:ligatures w14:val="none"/>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576719"/>
    <w:pPr>
      <w:spacing w:after="0" w:line="240" w:lineRule="auto"/>
    </w:pPr>
    <w:rPr>
      <w:rFonts w:eastAsiaTheme="minorEastAsia"/>
      <w:kern w:val="0"/>
      <w:sz w:val="22"/>
      <w:szCs w:val="22"/>
      <w14:ligatures w14:val="none"/>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576719"/>
    <w:pPr>
      <w:spacing w:after="0" w:line="240" w:lineRule="auto"/>
    </w:pPr>
    <w:rPr>
      <w:rFonts w:eastAsiaTheme="minorEastAsia"/>
      <w:kern w:val="0"/>
      <w:sz w:val="22"/>
      <w:szCs w:val="22"/>
      <w14:ligatures w14:val="non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576719"/>
    <w:pPr>
      <w:spacing w:after="0" w:line="240" w:lineRule="auto"/>
    </w:pPr>
    <w:rPr>
      <w:rFonts w:eastAsiaTheme="minorEastAsia"/>
      <w:kern w:val="0"/>
      <w:sz w:val="22"/>
      <w:szCs w:val="22"/>
      <w14:ligatures w14:val="none"/>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576719"/>
    <w:pPr>
      <w:spacing w:after="0" w:line="240" w:lineRule="auto"/>
    </w:pPr>
    <w:rPr>
      <w:rFonts w:eastAsiaTheme="minorEastAsia"/>
      <w:kern w:val="0"/>
      <w:sz w:val="22"/>
      <w:szCs w:val="22"/>
      <w14:ligatures w14:val="none"/>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576719"/>
    <w:pPr>
      <w:spacing w:after="0" w:line="240" w:lineRule="auto"/>
    </w:pPr>
    <w:rPr>
      <w:rFonts w:eastAsiaTheme="minorEastAsia"/>
      <w:kern w:val="0"/>
      <w:sz w:val="22"/>
      <w:szCs w:val="22"/>
      <w14:ligatures w14:val="none"/>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576719"/>
    <w:pPr>
      <w:spacing w:after="0" w:line="240" w:lineRule="auto"/>
    </w:pPr>
    <w:rPr>
      <w:rFonts w:eastAsiaTheme="minorEastAsia"/>
      <w:kern w:val="0"/>
      <w:sz w:val="22"/>
      <w:szCs w:val="22"/>
      <w14:ligatures w14:val="none"/>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576719"/>
    <w:pPr>
      <w:spacing w:after="0" w:line="240" w:lineRule="auto"/>
    </w:pPr>
    <w:rPr>
      <w:rFonts w:eastAsiaTheme="minorEastAsia"/>
      <w:kern w:val="0"/>
      <w:sz w:val="22"/>
      <w:szCs w:val="22"/>
      <w14:ligatures w14:val="none"/>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576719"/>
    <w:pPr>
      <w:spacing w:after="0" w:line="240" w:lineRule="auto"/>
    </w:pPr>
    <w:rPr>
      <w:rFonts w:eastAsiaTheme="minorEastAsia"/>
      <w:kern w:val="0"/>
      <w:sz w:val="22"/>
      <w:szCs w:val="22"/>
      <w14:ligatures w14:val="none"/>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576719"/>
    <w:pPr>
      <w:spacing w:after="0" w:line="240" w:lineRule="auto"/>
    </w:pPr>
    <w:rPr>
      <w:rFonts w:eastAsiaTheme="minorEastAsia"/>
      <w:kern w:val="0"/>
      <w:sz w:val="22"/>
      <w:szCs w:val="22"/>
      <w14:ligatures w14:val="none"/>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576719"/>
    <w:pPr>
      <w:spacing w:after="0" w:line="240" w:lineRule="auto"/>
    </w:pPr>
    <w:rPr>
      <w:rFonts w:eastAsiaTheme="minorEastAsia"/>
      <w:kern w:val="0"/>
      <w:sz w:val="22"/>
      <w:szCs w:val="22"/>
      <w14:ligatures w14:val="none"/>
    </w:r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576719"/>
    <w:pPr>
      <w:spacing w:after="0" w:line="240" w:lineRule="auto"/>
    </w:pPr>
    <w:rPr>
      <w:rFonts w:eastAsiaTheme="minorEastAsia"/>
      <w:kern w:val="0"/>
      <w:sz w:val="22"/>
      <w:szCs w:val="22"/>
      <w14:ligatures w14:val="none"/>
    </w:r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576719"/>
    <w:pPr>
      <w:spacing w:after="0" w:line="240" w:lineRule="auto"/>
    </w:pPr>
    <w:rPr>
      <w:rFonts w:eastAsiaTheme="minorEastAsia"/>
      <w:kern w:val="0"/>
      <w:sz w:val="22"/>
      <w:szCs w:val="22"/>
      <w14:ligatures w14:val="none"/>
    </w:r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576719"/>
    <w:pPr>
      <w:spacing w:after="0" w:line="240" w:lineRule="auto"/>
    </w:pPr>
    <w:rPr>
      <w:rFonts w:eastAsiaTheme="minorEastAsia"/>
      <w:kern w:val="0"/>
      <w:sz w:val="22"/>
      <w:szCs w:val="22"/>
      <w14:ligatures w14:val="none"/>
    </w:r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576719"/>
    <w:pPr>
      <w:spacing w:after="0" w:line="240" w:lineRule="auto"/>
    </w:pPr>
    <w:rPr>
      <w:rFonts w:eastAsiaTheme="minorEastAsia"/>
      <w:kern w:val="0"/>
      <w:sz w:val="22"/>
      <w:szCs w:val="22"/>
      <w14:ligatures w14:val="none"/>
    </w:r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576719"/>
    <w:pPr>
      <w:spacing w:after="0" w:line="240" w:lineRule="auto"/>
    </w:pPr>
    <w:rPr>
      <w:rFonts w:eastAsiaTheme="minorEastAsia"/>
      <w:kern w:val="0"/>
      <w:sz w:val="22"/>
      <w:szCs w:val="22"/>
      <w14:ligatures w14:val="none"/>
    </w:r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576719"/>
    <w:pPr>
      <w:spacing w:after="0" w:line="240" w:lineRule="auto"/>
    </w:pPr>
    <w:rPr>
      <w:rFonts w:eastAsiaTheme="minorEastAsia"/>
      <w:kern w:val="0"/>
      <w:sz w:val="22"/>
      <w:szCs w:val="22"/>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576719"/>
    <w:pPr>
      <w:spacing w:after="0" w:line="240" w:lineRule="auto"/>
    </w:pPr>
    <w:rPr>
      <w:rFonts w:eastAsiaTheme="minorEastAsia"/>
      <w:kern w:val="0"/>
      <w:sz w:val="22"/>
      <w:szCs w:val="22"/>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576719"/>
    <w:pPr>
      <w:spacing w:after="0" w:line="240" w:lineRule="auto"/>
    </w:pPr>
    <w:rPr>
      <w:rFonts w:eastAsiaTheme="minorEastAsia"/>
      <w:kern w:val="0"/>
      <w:sz w:val="22"/>
      <w:szCs w:val="22"/>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576719"/>
    <w:pPr>
      <w:spacing w:after="0" w:line="240" w:lineRule="auto"/>
    </w:pPr>
    <w:rPr>
      <w:rFonts w:eastAsiaTheme="minorEastAsia"/>
      <w:kern w:val="0"/>
      <w:sz w:val="22"/>
      <w:szCs w:val="22"/>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576719"/>
    <w:pPr>
      <w:spacing w:after="0" w:line="240" w:lineRule="auto"/>
    </w:pPr>
    <w:rPr>
      <w:rFonts w:eastAsiaTheme="minorEastAsia"/>
      <w:kern w:val="0"/>
      <w:sz w:val="22"/>
      <w:szCs w:val="22"/>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576719"/>
    <w:pPr>
      <w:spacing w:after="0" w:line="240" w:lineRule="auto"/>
    </w:pPr>
    <w:rPr>
      <w:rFonts w:eastAsiaTheme="minorEastAsia"/>
      <w:kern w:val="0"/>
      <w:sz w:val="22"/>
      <w:szCs w:val="22"/>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576719"/>
    <w:pPr>
      <w:spacing w:after="0" w:line="240" w:lineRule="auto"/>
    </w:pPr>
    <w:rPr>
      <w:rFonts w:eastAsiaTheme="minorEastAsia"/>
      <w:kern w:val="0"/>
      <w:sz w:val="22"/>
      <w:szCs w:val="22"/>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576719"/>
    <w:pPr>
      <w:spacing w:after="0" w:line="240" w:lineRule="auto"/>
    </w:pPr>
    <w:rPr>
      <w:rFonts w:eastAsiaTheme="minorEastAsia"/>
      <w:color w:val="000000" w:themeColor="text1"/>
      <w:kern w:val="0"/>
      <w:sz w:val="22"/>
      <w:szCs w:val="22"/>
      <w14:ligatures w14:val="none"/>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576719"/>
    <w:pPr>
      <w:spacing w:after="0" w:line="240" w:lineRule="auto"/>
    </w:pPr>
    <w:rPr>
      <w:rFonts w:eastAsiaTheme="minorEastAsia"/>
      <w:color w:val="000000" w:themeColor="text1"/>
      <w:kern w:val="0"/>
      <w:sz w:val="22"/>
      <w:szCs w:val="22"/>
      <w14:ligatures w14:val="none"/>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576719"/>
    <w:pPr>
      <w:spacing w:after="0" w:line="240" w:lineRule="auto"/>
    </w:pPr>
    <w:rPr>
      <w:rFonts w:eastAsiaTheme="minorEastAsia"/>
      <w:color w:val="000000" w:themeColor="text1"/>
      <w:kern w:val="0"/>
      <w:sz w:val="22"/>
      <w:szCs w:val="22"/>
      <w14:ligatures w14:val="none"/>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576719"/>
    <w:pPr>
      <w:spacing w:after="0" w:line="240" w:lineRule="auto"/>
    </w:pPr>
    <w:rPr>
      <w:rFonts w:eastAsiaTheme="minorEastAsia"/>
      <w:color w:val="000000" w:themeColor="text1"/>
      <w:kern w:val="0"/>
      <w:sz w:val="22"/>
      <w:szCs w:val="22"/>
      <w14:ligatures w14:val="none"/>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576719"/>
    <w:pPr>
      <w:spacing w:after="0" w:line="240" w:lineRule="auto"/>
    </w:pPr>
    <w:rPr>
      <w:rFonts w:eastAsiaTheme="minorEastAsia"/>
      <w:color w:val="000000" w:themeColor="text1"/>
      <w:kern w:val="0"/>
      <w:sz w:val="22"/>
      <w:szCs w:val="22"/>
      <w14:ligatures w14:val="none"/>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576719"/>
    <w:pPr>
      <w:spacing w:after="0" w:line="240" w:lineRule="auto"/>
    </w:pPr>
    <w:rPr>
      <w:rFonts w:eastAsiaTheme="minorEastAsia"/>
      <w:color w:val="000000" w:themeColor="text1"/>
      <w:kern w:val="0"/>
      <w:sz w:val="22"/>
      <w:szCs w:val="22"/>
      <w14:ligatures w14:val="none"/>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576719"/>
    <w:pPr>
      <w:spacing w:after="0" w:line="240" w:lineRule="auto"/>
    </w:pPr>
    <w:rPr>
      <w:rFonts w:eastAsiaTheme="minorEastAsia"/>
      <w:color w:val="000000" w:themeColor="text1"/>
      <w:kern w:val="0"/>
      <w:sz w:val="22"/>
      <w:szCs w:val="22"/>
      <w14:ligatures w14:val="none"/>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576719"/>
    <w:pPr>
      <w:spacing w:after="0" w:line="240" w:lineRule="auto"/>
    </w:pPr>
    <w:rPr>
      <w:rFonts w:asciiTheme="majorHAnsi" w:eastAsiaTheme="majorEastAsia" w:hAnsiTheme="majorHAnsi" w:cstheme="majorBidi"/>
      <w:color w:val="000000" w:themeColor="text1"/>
      <w:kern w:val="0"/>
      <w:sz w:val="22"/>
      <w:szCs w:val="22"/>
      <w14:ligatures w14:val="non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576719"/>
    <w:pPr>
      <w:spacing w:after="0" w:line="240" w:lineRule="auto"/>
    </w:pPr>
    <w:rPr>
      <w:rFonts w:asciiTheme="majorHAnsi" w:eastAsiaTheme="majorEastAsia" w:hAnsiTheme="majorHAnsi" w:cstheme="majorBidi"/>
      <w:color w:val="000000" w:themeColor="text1"/>
      <w:kern w:val="0"/>
      <w:sz w:val="22"/>
      <w:szCs w:val="22"/>
      <w14:ligatures w14:val="none"/>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576719"/>
    <w:pPr>
      <w:spacing w:after="0" w:line="240" w:lineRule="auto"/>
    </w:pPr>
    <w:rPr>
      <w:rFonts w:asciiTheme="majorHAnsi" w:eastAsiaTheme="majorEastAsia" w:hAnsiTheme="majorHAnsi" w:cstheme="majorBidi"/>
      <w:color w:val="000000" w:themeColor="text1"/>
      <w:kern w:val="0"/>
      <w:sz w:val="22"/>
      <w:szCs w:val="22"/>
      <w14:ligatures w14:val="none"/>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576719"/>
    <w:pPr>
      <w:spacing w:after="0" w:line="240" w:lineRule="auto"/>
    </w:pPr>
    <w:rPr>
      <w:rFonts w:asciiTheme="majorHAnsi" w:eastAsiaTheme="majorEastAsia" w:hAnsiTheme="majorHAnsi" w:cstheme="majorBidi"/>
      <w:color w:val="000000" w:themeColor="text1"/>
      <w:kern w:val="0"/>
      <w:sz w:val="22"/>
      <w:szCs w:val="22"/>
      <w14:ligatures w14:val="none"/>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576719"/>
    <w:pPr>
      <w:spacing w:after="0" w:line="240" w:lineRule="auto"/>
    </w:pPr>
    <w:rPr>
      <w:rFonts w:asciiTheme="majorHAnsi" w:eastAsiaTheme="majorEastAsia" w:hAnsiTheme="majorHAnsi" w:cstheme="majorBidi"/>
      <w:color w:val="000000" w:themeColor="text1"/>
      <w:kern w:val="0"/>
      <w:sz w:val="22"/>
      <w:szCs w:val="22"/>
      <w14:ligatures w14:val="none"/>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576719"/>
    <w:pPr>
      <w:spacing w:after="0" w:line="240" w:lineRule="auto"/>
    </w:pPr>
    <w:rPr>
      <w:rFonts w:asciiTheme="majorHAnsi" w:eastAsiaTheme="majorEastAsia" w:hAnsiTheme="majorHAnsi" w:cstheme="majorBidi"/>
      <w:color w:val="000000" w:themeColor="text1"/>
      <w:kern w:val="0"/>
      <w:sz w:val="22"/>
      <w:szCs w:val="22"/>
      <w14:ligatures w14:val="none"/>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576719"/>
    <w:pPr>
      <w:spacing w:after="0" w:line="240" w:lineRule="auto"/>
    </w:pPr>
    <w:rPr>
      <w:rFonts w:asciiTheme="majorHAnsi" w:eastAsiaTheme="majorEastAsia" w:hAnsiTheme="majorHAnsi" w:cstheme="majorBidi"/>
      <w:color w:val="000000" w:themeColor="text1"/>
      <w:kern w:val="0"/>
      <w:sz w:val="22"/>
      <w:szCs w:val="22"/>
      <w14:ligatures w14:val="none"/>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576719"/>
    <w:pPr>
      <w:spacing w:after="0" w:line="240" w:lineRule="auto"/>
    </w:pPr>
    <w:rPr>
      <w:rFonts w:eastAsiaTheme="minorEastAsia"/>
      <w:kern w:val="0"/>
      <w:sz w:val="22"/>
      <w:szCs w:val="22"/>
      <w14:ligatures w14:val="none"/>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576719"/>
    <w:pPr>
      <w:spacing w:after="0" w:line="240" w:lineRule="auto"/>
    </w:pPr>
    <w:rPr>
      <w:rFonts w:eastAsiaTheme="minorEastAsia"/>
      <w:kern w:val="0"/>
      <w:sz w:val="22"/>
      <w:szCs w:val="22"/>
      <w14:ligatures w14:val="none"/>
    </w:r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576719"/>
    <w:pPr>
      <w:spacing w:after="0" w:line="240" w:lineRule="auto"/>
    </w:pPr>
    <w:rPr>
      <w:rFonts w:eastAsiaTheme="minorEastAsia"/>
      <w:kern w:val="0"/>
      <w:sz w:val="22"/>
      <w:szCs w:val="22"/>
      <w14:ligatures w14:val="none"/>
    </w:r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576719"/>
    <w:pPr>
      <w:spacing w:after="0" w:line="240" w:lineRule="auto"/>
    </w:pPr>
    <w:rPr>
      <w:rFonts w:eastAsiaTheme="minorEastAsia"/>
      <w:kern w:val="0"/>
      <w:sz w:val="22"/>
      <w:szCs w:val="22"/>
      <w14:ligatures w14:val="none"/>
    </w:r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576719"/>
    <w:pPr>
      <w:spacing w:after="0" w:line="240" w:lineRule="auto"/>
    </w:pPr>
    <w:rPr>
      <w:rFonts w:eastAsiaTheme="minorEastAsia"/>
      <w:kern w:val="0"/>
      <w:sz w:val="22"/>
      <w:szCs w:val="22"/>
      <w14:ligatures w14:val="none"/>
    </w:r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576719"/>
    <w:pPr>
      <w:spacing w:after="0" w:line="240" w:lineRule="auto"/>
    </w:pPr>
    <w:rPr>
      <w:rFonts w:eastAsiaTheme="minorEastAsia"/>
      <w:kern w:val="0"/>
      <w:sz w:val="22"/>
      <w:szCs w:val="22"/>
      <w14:ligatures w14:val="none"/>
    </w:r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576719"/>
    <w:pPr>
      <w:spacing w:after="0" w:line="240" w:lineRule="auto"/>
    </w:pPr>
    <w:rPr>
      <w:rFonts w:eastAsiaTheme="minorEastAsia"/>
      <w:kern w:val="0"/>
      <w:sz w:val="22"/>
      <w:szCs w:val="22"/>
      <w14:ligatures w14:val="none"/>
    </w:r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576719"/>
    <w:pPr>
      <w:spacing w:after="0" w:line="240" w:lineRule="auto"/>
    </w:pPr>
    <w:rPr>
      <w:rFonts w:asciiTheme="majorHAnsi" w:eastAsiaTheme="majorEastAsia" w:hAnsiTheme="majorHAnsi" w:cstheme="majorBidi"/>
      <w:color w:val="000000" w:themeColor="text1"/>
      <w:kern w:val="0"/>
      <w:sz w:val="22"/>
      <w:szCs w:val="22"/>
      <w14:ligatures w14:val="non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576719"/>
    <w:pPr>
      <w:spacing w:after="0" w:line="240" w:lineRule="auto"/>
    </w:pPr>
    <w:rPr>
      <w:rFonts w:asciiTheme="majorHAnsi" w:eastAsiaTheme="majorEastAsia" w:hAnsiTheme="majorHAnsi" w:cstheme="majorBidi"/>
      <w:color w:val="000000" w:themeColor="text1"/>
      <w:kern w:val="0"/>
      <w:sz w:val="22"/>
      <w:szCs w:val="22"/>
      <w14:ligatures w14:val="none"/>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576719"/>
    <w:pPr>
      <w:spacing w:after="0" w:line="240" w:lineRule="auto"/>
    </w:pPr>
    <w:rPr>
      <w:rFonts w:asciiTheme="majorHAnsi" w:eastAsiaTheme="majorEastAsia" w:hAnsiTheme="majorHAnsi" w:cstheme="majorBidi"/>
      <w:color w:val="000000" w:themeColor="text1"/>
      <w:kern w:val="0"/>
      <w:sz w:val="22"/>
      <w:szCs w:val="22"/>
      <w14:ligatures w14:val="none"/>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576719"/>
    <w:pPr>
      <w:spacing w:after="0" w:line="240" w:lineRule="auto"/>
    </w:pPr>
    <w:rPr>
      <w:rFonts w:asciiTheme="majorHAnsi" w:eastAsiaTheme="majorEastAsia" w:hAnsiTheme="majorHAnsi" w:cstheme="majorBidi"/>
      <w:color w:val="000000" w:themeColor="text1"/>
      <w:kern w:val="0"/>
      <w:sz w:val="22"/>
      <w:szCs w:val="22"/>
      <w14:ligatures w14:val="none"/>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576719"/>
    <w:pPr>
      <w:spacing w:after="0" w:line="240" w:lineRule="auto"/>
    </w:pPr>
    <w:rPr>
      <w:rFonts w:asciiTheme="majorHAnsi" w:eastAsiaTheme="majorEastAsia" w:hAnsiTheme="majorHAnsi" w:cstheme="majorBidi"/>
      <w:color w:val="000000" w:themeColor="text1"/>
      <w:kern w:val="0"/>
      <w:sz w:val="22"/>
      <w:szCs w:val="22"/>
      <w14:ligatures w14:val="none"/>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576719"/>
    <w:pPr>
      <w:spacing w:after="0" w:line="240" w:lineRule="auto"/>
    </w:pPr>
    <w:rPr>
      <w:rFonts w:asciiTheme="majorHAnsi" w:eastAsiaTheme="majorEastAsia" w:hAnsiTheme="majorHAnsi" w:cstheme="majorBidi"/>
      <w:color w:val="000000" w:themeColor="text1"/>
      <w:kern w:val="0"/>
      <w:sz w:val="22"/>
      <w:szCs w:val="22"/>
      <w14:ligatures w14:val="none"/>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576719"/>
    <w:pPr>
      <w:spacing w:after="0" w:line="240" w:lineRule="auto"/>
    </w:pPr>
    <w:rPr>
      <w:rFonts w:asciiTheme="majorHAnsi" w:eastAsiaTheme="majorEastAsia" w:hAnsiTheme="majorHAnsi" w:cstheme="majorBidi"/>
      <w:color w:val="000000" w:themeColor="text1"/>
      <w:kern w:val="0"/>
      <w:sz w:val="22"/>
      <w:szCs w:val="22"/>
      <w14:ligatures w14:val="none"/>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576719"/>
    <w:pPr>
      <w:spacing w:after="0" w:line="240" w:lineRule="auto"/>
    </w:pPr>
    <w:rPr>
      <w:rFonts w:eastAsiaTheme="minorEastAsia"/>
      <w:kern w:val="0"/>
      <w:sz w:val="22"/>
      <w:szCs w:val="22"/>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576719"/>
    <w:pPr>
      <w:spacing w:after="0" w:line="240" w:lineRule="auto"/>
    </w:pPr>
    <w:rPr>
      <w:rFonts w:eastAsiaTheme="minorEastAsia"/>
      <w:kern w:val="0"/>
      <w:sz w:val="22"/>
      <w:szCs w:val="22"/>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576719"/>
    <w:pPr>
      <w:spacing w:after="0" w:line="240" w:lineRule="auto"/>
    </w:pPr>
    <w:rPr>
      <w:rFonts w:eastAsiaTheme="minorEastAsia"/>
      <w:kern w:val="0"/>
      <w:sz w:val="22"/>
      <w:szCs w:val="22"/>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576719"/>
    <w:pPr>
      <w:spacing w:after="0" w:line="240" w:lineRule="auto"/>
    </w:pPr>
    <w:rPr>
      <w:rFonts w:eastAsiaTheme="minorEastAsia"/>
      <w:kern w:val="0"/>
      <w:sz w:val="22"/>
      <w:szCs w:val="22"/>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576719"/>
    <w:pPr>
      <w:spacing w:after="0" w:line="240" w:lineRule="auto"/>
    </w:pPr>
    <w:rPr>
      <w:rFonts w:eastAsiaTheme="minorEastAsia"/>
      <w:kern w:val="0"/>
      <w:sz w:val="22"/>
      <w:szCs w:val="22"/>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576719"/>
    <w:pPr>
      <w:spacing w:after="0" w:line="240" w:lineRule="auto"/>
    </w:pPr>
    <w:rPr>
      <w:rFonts w:eastAsiaTheme="minorEastAsia"/>
      <w:kern w:val="0"/>
      <w:sz w:val="22"/>
      <w:szCs w:val="22"/>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576719"/>
    <w:pPr>
      <w:spacing w:after="0" w:line="240" w:lineRule="auto"/>
    </w:pPr>
    <w:rPr>
      <w:rFonts w:eastAsiaTheme="minorEastAsia"/>
      <w:kern w:val="0"/>
      <w:sz w:val="22"/>
      <w:szCs w:val="22"/>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576719"/>
    <w:pPr>
      <w:spacing w:after="0" w:line="240" w:lineRule="auto"/>
    </w:pPr>
    <w:rPr>
      <w:rFonts w:eastAsiaTheme="minorEastAsia"/>
      <w:color w:val="FFFFFF" w:themeColor="background1"/>
      <w:kern w:val="0"/>
      <w:sz w:val="22"/>
      <w:szCs w:val="22"/>
      <w14:ligatures w14:val="none"/>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576719"/>
    <w:pPr>
      <w:spacing w:after="0" w:line="240" w:lineRule="auto"/>
    </w:pPr>
    <w:rPr>
      <w:rFonts w:eastAsiaTheme="minorEastAsia"/>
      <w:color w:val="FFFFFF" w:themeColor="background1"/>
      <w:kern w:val="0"/>
      <w:sz w:val="22"/>
      <w:szCs w:val="22"/>
      <w14:ligatures w14:val="none"/>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576719"/>
    <w:pPr>
      <w:spacing w:after="0" w:line="240" w:lineRule="auto"/>
    </w:pPr>
    <w:rPr>
      <w:rFonts w:eastAsiaTheme="minorEastAsia"/>
      <w:color w:val="FFFFFF" w:themeColor="background1"/>
      <w:kern w:val="0"/>
      <w:sz w:val="22"/>
      <w:szCs w:val="22"/>
      <w14:ligatures w14:val="none"/>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576719"/>
    <w:pPr>
      <w:spacing w:after="0" w:line="240" w:lineRule="auto"/>
    </w:pPr>
    <w:rPr>
      <w:rFonts w:eastAsiaTheme="minorEastAsia"/>
      <w:color w:val="FFFFFF" w:themeColor="background1"/>
      <w:kern w:val="0"/>
      <w:sz w:val="22"/>
      <w:szCs w:val="22"/>
      <w14:ligatures w14:val="none"/>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576719"/>
    <w:pPr>
      <w:spacing w:after="0" w:line="240" w:lineRule="auto"/>
    </w:pPr>
    <w:rPr>
      <w:rFonts w:eastAsiaTheme="minorEastAsia"/>
      <w:color w:val="FFFFFF" w:themeColor="background1"/>
      <w:kern w:val="0"/>
      <w:sz w:val="22"/>
      <w:szCs w:val="22"/>
      <w14:ligatures w14:val="none"/>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576719"/>
    <w:pPr>
      <w:spacing w:after="0" w:line="240" w:lineRule="auto"/>
    </w:pPr>
    <w:rPr>
      <w:rFonts w:eastAsiaTheme="minorEastAsia"/>
      <w:color w:val="FFFFFF" w:themeColor="background1"/>
      <w:kern w:val="0"/>
      <w:sz w:val="22"/>
      <w:szCs w:val="22"/>
      <w14:ligatures w14:val="none"/>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576719"/>
    <w:pPr>
      <w:spacing w:after="0" w:line="240" w:lineRule="auto"/>
    </w:pPr>
    <w:rPr>
      <w:rFonts w:eastAsiaTheme="minorEastAsia"/>
      <w:color w:val="FFFFFF" w:themeColor="background1"/>
      <w:kern w:val="0"/>
      <w:sz w:val="22"/>
      <w:szCs w:val="22"/>
      <w14:ligatures w14:val="none"/>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rfulShading">
    <w:name w:val="Colorful Shading"/>
    <w:basedOn w:val="TableNormal"/>
    <w:uiPriority w:val="71"/>
    <w:rsid w:val="00576719"/>
    <w:pPr>
      <w:spacing w:after="0" w:line="240" w:lineRule="auto"/>
    </w:pPr>
    <w:rPr>
      <w:rFonts w:eastAsiaTheme="minorEastAsia"/>
      <w:color w:val="000000" w:themeColor="text1"/>
      <w:kern w:val="0"/>
      <w:sz w:val="22"/>
      <w:szCs w:val="22"/>
      <w14:ligatures w14:val="none"/>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576719"/>
    <w:pPr>
      <w:spacing w:after="0" w:line="240" w:lineRule="auto"/>
    </w:pPr>
    <w:rPr>
      <w:rFonts w:eastAsiaTheme="minorEastAsia"/>
      <w:color w:val="000000" w:themeColor="text1"/>
      <w:kern w:val="0"/>
      <w:sz w:val="22"/>
      <w:szCs w:val="22"/>
      <w14:ligatures w14:val="none"/>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576719"/>
    <w:pPr>
      <w:spacing w:after="0" w:line="240" w:lineRule="auto"/>
    </w:pPr>
    <w:rPr>
      <w:rFonts w:eastAsiaTheme="minorEastAsia"/>
      <w:color w:val="000000" w:themeColor="text1"/>
      <w:kern w:val="0"/>
      <w:sz w:val="22"/>
      <w:szCs w:val="22"/>
      <w14:ligatures w14:val="none"/>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576719"/>
    <w:pPr>
      <w:spacing w:after="0" w:line="240" w:lineRule="auto"/>
    </w:pPr>
    <w:rPr>
      <w:rFonts w:eastAsiaTheme="minorEastAsia"/>
      <w:color w:val="000000" w:themeColor="text1"/>
      <w:kern w:val="0"/>
      <w:sz w:val="22"/>
      <w:szCs w:val="22"/>
      <w14:ligatures w14:val="none"/>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rfulShading-Accent4">
    <w:name w:val="Colorful Shading Accent 4"/>
    <w:basedOn w:val="TableNormal"/>
    <w:uiPriority w:val="71"/>
    <w:rsid w:val="00576719"/>
    <w:pPr>
      <w:spacing w:after="0" w:line="240" w:lineRule="auto"/>
    </w:pPr>
    <w:rPr>
      <w:rFonts w:eastAsiaTheme="minorEastAsia"/>
      <w:color w:val="000000" w:themeColor="text1"/>
      <w:kern w:val="0"/>
      <w:sz w:val="22"/>
      <w:szCs w:val="22"/>
      <w14:ligatures w14:val="none"/>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576719"/>
    <w:pPr>
      <w:spacing w:after="0" w:line="240" w:lineRule="auto"/>
    </w:pPr>
    <w:rPr>
      <w:rFonts w:eastAsiaTheme="minorEastAsia"/>
      <w:color w:val="000000" w:themeColor="text1"/>
      <w:kern w:val="0"/>
      <w:sz w:val="22"/>
      <w:szCs w:val="22"/>
      <w14:ligatures w14:val="none"/>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576719"/>
    <w:pPr>
      <w:spacing w:after="0" w:line="240" w:lineRule="auto"/>
    </w:pPr>
    <w:rPr>
      <w:rFonts w:eastAsiaTheme="minorEastAsia"/>
      <w:color w:val="000000" w:themeColor="text1"/>
      <w:kern w:val="0"/>
      <w:sz w:val="22"/>
      <w:szCs w:val="22"/>
      <w14:ligatures w14:val="none"/>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576719"/>
    <w:pPr>
      <w:spacing w:after="0" w:line="240" w:lineRule="auto"/>
    </w:pPr>
    <w:rPr>
      <w:rFonts w:eastAsiaTheme="minorEastAsia"/>
      <w:color w:val="000000" w:themeColor="text1"/>
      <w:kern w:val="0"/>
      <w:sz w:val="22"/>
      <w:szCs w:val="22"/>
      <w14:ligatures w14:val="none"/>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576719"/>
    <w:pPr>
      <w:spacing w:after="0" w:line="240" w:lineRule="auto"/>
    </w:pPr>
    <w:rPr>
      <w:rFonts w:eastAsiaTheme="minorEastAsia"/>
      <w:color w:val="000000" w:themeColor="text1"/>
      <w:kern w:val="0"/>
      <w:sz w:val="22"/>
      <w:szCs w:val="22"/>
      <w14:ligatures w14:val="none"/>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rfulList-Accent2">
    <w:name w:val="Colorful List Accent 2"/>
    <w:basedOn w:val="TableNormal"/>
    <w:uiPriority w:val="72"/>
    <w:rsid w:val="00576719"/>
    <w:pPr>
      <w:spacing w:after="0" w:line="240" w:lineRule="auto"/>
    </w:pPr>
    <w:rPr>
      <w:rFonts w:eastAsiaTheme="minorEastAsia"/>
      <w:color w:val="000000" w:themeColor="text1"/>
      <w:kern w:val="0"/>
      <w:sz w:val="22"/>
      <w:szCs w:val="22"/>
      <w14:ligatures w14:val="none"/>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rfulList-Accent3">
    <w:name w:val="Colorful List Accent 3"/>
    <w:basedOn w:val="TableNormal"/>
    <w:uiPriority w:val="72"/>
    <w:rsid w:val="00576719"/>
    <w:pPr>
      <w:spacing w:after="0" w:line="240" w:lineRule="auto"/>
    </w:pPr>
    <w:rPr>
      <w:rFonts w:eastAsiaTheme="minorEastAsia"/>
      <w:color w:val="000000" w:themeColor="text1"/>
      <w:kern w:val="0"/>
      <w:sz w:val="22"/>
      <w:szCs w:val="22"/>
      <w14:ligatures w14:val="none"/>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rfulList-Accent4">
    <w:name w:val="Colorful List Accent 4"/>
    <w:basedOn w:val="TableNormal"/>
    <w:uiPriority w:val="72"/>
    <w:rsid w:val="00576719"/>
    <w:pPr>
      <w:spacing w:after="0" w:line="240" w:lineRule="auto"/>
    </w:pPr>
    <w:rPr>
      <w:rFonts w:eastAsiaTheme="minorEastAsia"/>
      <w:color w:val="000000" w:themeColor="text1"/>
      <w:kern w:val="0"/>
      <w:sz w:val="22"/>
      <w:szCs w:val="22"/>
      <w14:ligatures w14:val="none"/>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rfulList-Accent5">
    <w:name w:val="Colorful List Accent 5"/>
    <w:basedOn w:val="TableNormal"/>
    <w:uiPriority w:val="72"/>
    <w:rsid w:val="00576719"/>
    <w:pPr>
      <w:spacing w:after="0" w:line="240" w:lineRule="auto"/>
    </w:pPr>
    <w:rPr>
      <w:rFonts w:eastAsiaTheme="minorEastAsia"/>
      <w:color w:val="000000" w:themeColor="text1"/>
      <w:kern w:val="0"/>
      <w:sz w:val="22"/>
      <w:szCs w:val="22"/>
      <w14:ligatures w14:val="none"/>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rfulList-Accent6">
    <w:name w:val="Colorful List Accent 6"/>
    <w:basedOn w:val="TableNormal"/>
    <w:uiPriority w:val="72"/>
    <w:rsid w:val="00576719"/>
    <w:pPr>
      <w:spacing w:after="0" w:line="240" w:lineRule="auto"/>
    </w:pPr>
    <w:rPr>
      <w:rFonts w:eastAsiaTheme="minorEastAsia"/>
      <w:color w:val="000000" w:themeColor="text1"/>
      <w:kern w:val="0"/>
      <w:sz w:val="22"/>
      <w:szCs w:val="22"/>
      <w14:ligatures w14:val="none"/>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rfulGrid">
    <w:name w:val="Colorful Grid"/>
    <w:basedOn w:val="TableNormal"/>
    <w:uiPriority w:val="73"/>
    <w:rsid w:val="00576719"/>
    <w:pPr>
      <w:spacing w:after="0" w:line="240" w:lineRule="auto"/>
    </w:pPr>
    <w:rPr>
      <w:rFonts w:eastAsiaTheme="minorEastAsia"/>
      <w:color w:val="000000" w:themeColor="text1"/>
      <w:kern w:val="0"/>
      <w:sz w:val="22"/>
      <w:szCs w:val="22"/>
      <w14:ligatures w14:val="none"/>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576719"/>
    <w:pPr>
      <w:spacing w:after="0" w:line="240" w:lineRule="auto"/>
    </w:pPr>
    <w:rPr>
      <w:rFonts w:eastAsiaTheme="minorEastAsia"/>
      <w:color w:val="000000" w:themeColor="text1"/>
      <w:kern w:val="0"/>
      <w:sz w:val="22"/>
      <w:szCs w:val="22"/>
      <w14:ligatures w14:val="none"/>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rfulGrid-Accent2">
    <w:name w:val="Colorful Grid Accent 2"/>
    <w:basedOn w:val="TableNormal"/>
    <w:uiPriority w:val="73"/>
    <w:rsid w:val="00576719"/>
    <w:pPr>
      <w:spacing w:after="0" w:line="240" w:lineRule="auto"/>
    </w:pPr>
    <w:rPr>
      <w:rFonts w:eastAsiaTheme="minorEastAsia"/>
      <w:color w:val="000000" w:themeColor="text1"/>
      <w:kern w:val="0"/>
      <w:sz w:val="22"/>
      <w:szCs w:val="22"/>
      <w14:ligatures w14:val="none"/>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rfulGrid-Accent3">
    <w:name w:val="Colorful Grid Accent 3"/>
    <w:basedOn w:val="TableNormal"/>
    <w:uiPriority w:val="73"/>
    <w:rsid w:val="00576719"/>
    <w:pPr>
      <w:spacing w:after="0" w:line="240" w:lineRule="auto"/>
    </w:pPr>
    <w:rPr>
      <w:rFonts w:eastAsiaTheme="minorEastAsia"/>
      <w:color w:val="000000" w:themeColor="text1"/>
      <w:kern w:val="0"/>
      <w:sz w:val="22"/>
      <w:szCs w:val="22"/>
      <w14:ligatures w14:val="none"/>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rfulGrid-Accent4">
    <w:name w:val="Colorful Grid Accent 4"/>
    <w:basedOn w:val="TableNormal"/>
    <w:uiPriority w:val="73"/>
    <w:rsid w:val="00576719"/>
    <w:pPr>
      <w:spacing w:after="0" w:line="240" w:lineRule="auto"/>
    </w:pPr>
    <w:rPr>
      <w:rFonts w:eastAsiaTheme="minorEastAsia"/>
      <w:color w:val="000000" w:themeColor="text1"/>
      <w:kern w:val="0"/>
      <w:sz w:val="22"/>
      <w:szCs w:val="22"/>
      <w14:ligatures w14:val="none"/>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rfulGrid-Accent5">
    <w:name w:val="Colorful Grid Accent 5"/>
    <w:basedOn w:val="TableNormal"/>
    <w:uiPriority w:val="73"/>
    <w:rsid w:val="00576719"/>
    <w:pPr>
      <w:spacing w:after="0" w:line="240" w:lineRule="auto"/>
    </w:pPr>
    <w:rPr>
      <w:rFonts w:eastAsiaTheme="minorEastAsia"/>
      <w:color w:val="000000" w:themeColor="text1"/>
      <w:kern w:val="0"/>
      <w:sz w:val="22"/>
      <w:szCs w:val="22"/>
      <w14:ligatures w14:val="none"/>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rfulGrid-Accent6">
    <w:name w:val="Colorful Grid Accent 6"/>
    <w:basedOn w:val="TableNormal"/>
    <w:uiPriority w:val="73"/>
    <w:rsid w:val="00576719"/>
    <w:pPr>
      <w:spacing w:after="0" w:line="240" w:lineRule="auto"/>
    </w:pPr>
    <w:rPr>
      <w:rFonts w:eastAsiaTheme="minorEastAsia"/>
      <w:color w:val="000000" w:themeColor="text1"/>
      <w:kern w:val="0"/>
      <w:sz w:val="22"/>
      <w:szCs w:val="22"/>
      <w14:ligatures w14:val="none"/>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styleId="Hyperlink">
    <w:name w:val="Hyperlink"/>
    <w:basedOn w:val="DefaultParagraphFont"/>
    <w:uiPriority w:val="99"/>
    <w:unhideWhenUsed/>
    <w:rsid w:val="00576719"/>
    <w:rPr>
      <w:color w:val="467886" w:themeColor="hyperlink"/>
      <w:u w:val="single"/>
    </w:rPr>
  </w:style>
  <w:style w:type="character" w:styleId="UnresolvedMention">
    <w:name w:val="Unresolved Mention"/>
    <w:basedOn w:val="DefaultParagraphFont"/>
    <w:uiPriority w:val="99"/>
    <w:semiHidden/>
    <w:unhideWhenUsed/>
    <w:rsid w:val="00576719"/>
    <w:rPr>
      <w:color w:val="605E5C"/>
      <w:shd w:val="clear" w:color="auto" w:fill="E1DFDD"/>
    </w:rPr>
  </w:style>
  <w:style w:type="paragraph" w:styleId="NormalWeb">
    <w:name w:val="Normal (Web)"/>
    <w:basedOn w:val="Normal"/>
    <w:uiPriority w:val="99"/>
    <w:semiHidden/>
    <w:unhideWhenUsed/>
    <w:rsid w:val="00576719"/>
    <w:pPr>
      <w:spacing w:before="100" w:beforeAutospacing="1" w:after="100" w:afterAutospacing="1" w:line="240" w:lineRule="auto"/>
    </w:pPr>
    <w:rPr>
      <w:rFonts w:ascii="Times New Roman" w:eastAsia="Times New Roman" w:hAnsi="Times New Roman" w:cs="Times New Roman"/>
      <w:sz w:val="24"/>
      <w:szCs w:val="24"/>
    </w:rPr>
  </w:style>
  <w:style w:type="paragraph" w:styleId="FootnoteText">
    <w:name w:val="footnote text"/>
    <w:basedOn w:val="Normal"/>
    <w:link w:val="FootnoteTextChar"/>
    <w:uiPriority w:val="99"/>
    <w:semiHidden/>
    <w:unhideWhenUsed/>
    <w:rsid w:val="0057671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76719"/>
    <w:rPr>
      <w:rFonts w:eastAsiaTheme="minorEastAsia"/>
      <w:kern w:val="0"/>
      <w:sz w:val="20"/>
      <w:szCs w:val="20"/>
      <w14:ligatures w14:val="none"/>
    </w:rPr>
  </w:style>
  <w:style w:type="character" w:styleId="FootnoteReference">
    <w:name w:val="footnote reference"/>
    <w:basedOn w:val="DefaultParagraphFont"/>
    <w:uiPriority w:val="99"/>
    <w:semiHidden/>
    <w:unhideWhenUsed/>
    <w:rsid w:val="00576719"/>
    <w:rPr>
      <w:vertAlign w:val="superscript"/>
    </w:rPr>
  </w:style>
  <w:style w:type="paragraph" w:customStyle="1" w:styleId="msonormal0">
    <w:name w:val="msonormal"/>
    <w:basedOn w:val="Normal"/>
    <w:rsid w:val="0057671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verse">
    <w:name w:val="verse"/>
    <w:basedOn w:val="Normal"/>
    <w:rsid w:val="00576719"/>
    <w:pPr>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576719"/>
    <w:rPr>
      <w:color w:val="800080"/>
      <w:u w:val="single"/>
    </w:rPr>
  </w:style>
  <w:style w:type="paragraph" w:customStyle="1" w:styleId="Subtitle1">
    <w:name w:val="Subtitle1"/>
    <w:basedOn w:val="Normal"/>
    <w:rsid w:val="0057671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ext-align-center">
    <w:name w:val="text-align-center"/>
    <w:basedOn w:val="Normal"/>
    <w:rsid w:val="0057671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oublequote">
    <w:name w:val="doublequote"/>
    <w:basedOn w:val="Normal"/>
    <w:rsid w:val="0057671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ext-align-justify">
    <w:name w:val="text-align-justify"/>
    <w:basedOn w:val="Normal"/>
    <w:rsid w:val="0057671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uthor">
    <w:name w:val="author"/>
    <w:basedOn w:val="Normal"/>
    <w:rsid w:val="0057671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enter">
    <w:name w:val="center"/>
    <w:basedOn w:val="Normal"/>
    <w:rsid w:val="00576719"/>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29</TotalTime>
  <Pages>2</Pages>
  <Words>851</Words>
  <Characters>4029</Characters>
  <Application>Microsoft Office Word</Application>
  <DocSecurity>0</DocSecurity>
  <Lines>71</Lines>
  <Paragraphs>19</Paragraphs>
  <ScaleCrop>false</ScaleCrop>
  <Company/>
  <LinksUpToDate>false</LinksUpToDate>
  <CharactersWithSpaces>4861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 Laube</dc:creator>
  <cp:keywords/>
  <dc:description/>
  <cp:lastModifiedBy>Steve Laube</cp:lastModifiedBy>
  <cp:revision>10</cp:revision>
  <cp:lastPrinted>2026-08-15T15:41:00Z</cp:lastPrinted>
  <dcterms:created xsi:type="dcterms:W3CDTF">2026-08-03T01:19:00Z</dcterms:created>
  <dcterms:modified xsi:type="dcterms:W3CDTF">2026-08-15T15:52:00Z</dcterms:modified>
</cp:coreProperties>
</file>